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00835" w14:textId="77777777" w:rsidR="00721748" w:rsidRDefault="00721748" w:rsidP="00721748">
      <w:pPr>
        <w:rPr>
          <w:b/>
          <w:color w:val="000000" w:themeColor="text1"/>
          <w:sz w:val="28"/>
          <w:szCs w:val="28"/>
        </w:rPr>
      </w:pPr>
      <w:r w:rsidRPr="00AD74A6">
        <w:rPr>
          <w:b/>
          <w:color w:val="000000" w:themeColor="text1"/>
          <w:sz w:val="28"/>
          <w:szCs w:val="28"/>
        </w:rPr>
        <w:t>Apprendimento della fisica, educazione alla salute, formazione in servizio degli insegnanti: un’esperienza integrata</w:t>
      </w:r>
      <w:r>
        <w:rPr>
          <w:b/>
          <w:color w:val="000000" w:themeColor="text1"/>
          <w:sz w:val="28"/>
          <w:szCs w:val="28"/>
        </w:rPr>
        <w:t xml:space="preserve"> </w:t>
      </w:r>
      <w:r w:rsidRPr="00AD74A6">
        <w:rPr>
          <w:b/>
          <w:color w:val="000000" w:themeColor="text1"/>
          <w:sz w:val="28"/>
          <w:szCs w:val="28"/>
        </w:rPr>
        <w:t>tra scuola secondaria e università</w:t>
      </w:r>
      <w:r w:rsidRPr="00165EF9">
        <w:rPr>
          <w:b/>
          <w:color w:val="000000" w:themeColor="text1"/>
          <w:sz w:val="28"/>
          <w:szCs w:val="28"/>
        </w:rPr>
        <w:t>.</w:t>
      </w:r>
    </w:p>
    <w:p w14:paraId="1B87A156" w14:textId="77777777" w:rsidR="00721748" w:rsidRPr="00165EF9" w:rsidRDefault="00721748" w:rsidP="00721748">
      <w:pPr>
        <w:rPr>
          <w:b/>
          <w:color w:val="000000" w:themeColor="text1"/>
          <w:sz w:val="28"/>
          <w:szCs w:val="28"/>
        </w:rPr>
      </w:pPr>
    </w:p>
    <w:p w14:paraId="3D45300B" w14:textId="77777777" w:rsidR="00721748" w:rsidRPr="00AD74A6" w:rsidRDefault="00721748" w:rsidP="00721748">
      <w:pPr>
        <w:rPr>
          <w:b/>
          <w:color w:val="000000" w:themeColor="text1"/>
          <w:sz w:val="28"/>
          <w:szCs w:val="28"/>
          <w:lang w:val="en-US"/>
        </w:rPr>
      </w:pPr>
      <w:r w:rsidRPr="00AD74A6">
        <w:rPr>
          <w:b/>
          <w:color w:val="000000" w:themeColor="text1"/>
          <w:sz w:val="28"/>
          <w:szCs w:val="28"/>
          <w:lang w:val="en-US"/>
        </w:rPr>
        <w:t xml:space="preserve">Physics learning, health education, in-service teacher training: an integrated experience between secondary school and university. </w:t>
      </w:r>
    </w:p>
    <w:p w14:paraId="00000003" w14:textId="77777777" w:rsidR="006D1649" w:rsidRPr="00721748" w:rsidRDefault="006D1649">
      <w:pPr>
        <w:rPr>
          <w:color w:val="000000"/>
          <w:lang w:val="en-US"/>
        </w:rPr>
      </w:pPr>
    </w:p>
    <w:p w14:paraId="00000004" w14:textId="66DF17E6" w:rsidR="006D1649" w:rsidRDefault="00563E52" w:rsidP="000D057F">
      <w:pPr>
        <w:pStyle w:val="Sottotitolo"/>
        <w:ind w:left="0"/>
        <w:jc w:val="left"/>
        <w:rPr>
          <w:color w:val="000000"/>
          <w:sz w:val="24"/>
          <w:szCs w:val="24"/>
          <w:vertAlign w:val="superscript"/>
        </w:rPr>
      </w:pPr>
      <w:r>
        <w:rPr>
          <w:color w:val="000000"/>
          <w:sz w:val="24"/>
          <w:szCs w:val="24"/>
        </w:rPr>
        <w:t>P. Sapia</w:t>
      </w:r>
      <w:r>
        <w:rPr>
          <w:color w:val="000000"/>
          <w:sz w:val="24"/>
          <w:szCs w:val="24"/>
          <w:vertAlign w:val="superscript"/>
        </w:rPr>
        <w:t>1</w:t>
      </w:r>
      <w:r>
        <w:rPr>
          <w:color w:val="000000"/>
          <w:sz w:val="24"/>
          <w:szCs w:val="24"/>
        </w:rPr>
        <w:t xml:space="preserve">, </w:t>
      </w:r>
      <w:r w:rsidR="00E81799">
        <w:rPr>
          <w:color w:val="000000"/>
          <w:sz w:val="24"/>
          <w:szCs w:val="24"/>
        </w:rPr>
        <w:t>S. Rizzut</w:t>
      </w:r>
      <w:r w:rsidR="000D057F">
        <w:rPr>
          <w:color w:val="000000"/>
          <w:sz w:val="24"/>
          <w:szCs w:val="24"/>
        </w:rPr>
        <w:t>o</w:t>
      </w:r>
      <w:r w:rsidR="00E81799">
        <w:rPr>
          <w:color w:val="000000"/>
          <w:sz w:val="24"/>
          <w:szCs w:val="24"/>
          <w:vertAlign w:val="superscript"/>
        </w:rPr>
        <w:t>2</w:t>
      </w:r>
      <w:r w:rsidR="00E81799">
        <w:rPr>
          <w:color w:val="000000"/>
          <w:sz w:val="24"/>
          <w:szCs w:val="24"/>
        </w:rPr>
        <w:t>, V. Rizzut</w:t>
      </w:r>
      <w:r w:rsidR="000D057F">
        <w:rPr>
          <w:color w:val="000000"/>
          <w:sz w:val="24"/>
          <w:szCs w:val="24"/>
        </w:rPr>
        <w:t>o</w:t>
      </w:r>
      <w:r w:rsidR="00E81799">
        <w:rPr>
          <w:color w:val="000000"/>
          <w:sz w:val="24"/>
          <w:szCs w:val="24"/>
          <w:vertAlign w:val="superscript"/>
        </w:rPr>
        <w:t>2</w:t>
      </w:r>
      <w:r w:rsidR="00E81799">
        <w:rPr>
          <w:color w:val="000000"/>
          <w:sz w:val="24"/>
          <w:szCs w:val="24"/>
        </w:rPr>
        <w:t>, M. Naccarato</w:t>
      </w:r>
      <w:r w:rsidR="00E81799">
        <w:rPr>
          <w:color w:val="000000"/>
          <w:sz w:val="24"/>
          <w:szCs w:val="24"/>
          <w:vertAlign w:val="superscript"/>
        </w:rPr>
        <w:t>2</w:t>
      </w:r>
      <w:r w:rsidR="00E81799">
        <w:rPr>
          <w:color w:val="000000"/>
          <w:sz w:val="24"/>
          <w:szCs w:val="24"/>
        </w:rPr>
        <w:t xml:space="preserve">, </w:t>
      </w:r>
      <w:r>
        <w:rPr>
          <w:color w:val="000000"/>
          <w:sz w:val="24"/>
          <w:szCs w:val="24"/>
        </w:rPr>
        <w:t>L. Madeo</w:t>
      </w:r>
      <w:r w:rsidR="00C911A3">
        <w:rPr>
          <w:color w:val="000000"/>
          <w:sz w:val="24"/>
          <w:szCs w:val="24"/>
          <w:vertAlign w:val="superscript"/>
        </w:rPr>
        <w:t>3</w:t>
      </w:r>
      <w:r>
        <w:rPr>
          <w:color w:val="000000"/>
          <w:sz w:val="24"/>
          <w:szCs w:val="24"/>
        </w:rPr>
        <w:t>, F. Napoli</w:t>
      </w:r>
      <w:r>
        <w:rPr>
          <w:color w:val="000000"/>
          <w:sz w:val="24"/>
          <w:szCs w:val="24"/>
          <w:vertAlign w:val="superscript"/>
        </w:rPr>
        <w:t>1</w:t>
      </w:r>
      <w:r>
        <w:rPr>
          <w:color w:val="000000"/>
          <w:sz w:val="24"/>
          <w:szCs w:val="24"/>
        </w:rPr>
        <w:t>, G. Bozzo</w:t>
      </w:r>
      <w:r w:rsidR="00C911A3">
        <w:rPr>
          <w:color w:val="000000"/>
          <w:sz w:val="24"/>
          <w:szCs w:val="24"/>
          <w:vertAlign w:val="superscript"/>
        </w:rPr>
        <w:t>4</w:t>
      </w:r>
    </w:p>
    <w:p w14:paraId="00000005" w14:textId="54D8BCCE" w:rsidR="006D1649" w:rsidRDefault="00563E52" w:rsidP="000D057F">
      <w:pPr>
        <w:jc w:val="left"/>
        <w:rPr>
          <w:i/>
          <w:color w:val="000000"/>
          <w:sz w:val="24"/>
          <w:szCs w:val="24"/>
        </w:rPr>
      </w:pPr>
      <w:r>
        <w:rPr>
          <w:i/>
          <w:color w:val="000000"/>
          <w:sz w:val="24"/>
          <w:szCs w:val="24"/>
          <w:vertAlign w:val="superscript"/>
        </w:rPr>
        <w:t>1</w:t>
      </w:r>
      <w:r>
        <w:rPr>
          <w:i/>
          <w:color w:val="000000"/>
          <w:sz w:val="24"/>
          <w:szCs w:val="24"/>
        </w:rPr>
        <w:t>Laboratorio di Fisica Applicata per le Nanotecnologie, i Beni Culturali e la Comunicazione della Scienza – Dipartimento di Biologia, Ecologia e Scienze della Terra, Università della Calabria. Rende (CS).</w:t>
      </w:r>
    </w:p>
    <w:p w14:paraId="19D00414" w14:textId="4C17C2E0" w:rsidR="00E81799" w:rsidRDefault="00E81799" w:rsidP="000D057F">
      <w:pPr>
        <w:jc w:val="left"/>
        <w:rPr>
          <w:i/>
          <w:color w:val="000000"/>
          <w:sz w:val="24"/>
          <w:szCs w:val="24"/>
        </w:rPr>
      </w:pPr>
      <w:r>
        <w:rPr>
          <w:i/>
          <w:color w:val="000000"/>
          <w:sz w:val="24"/>
          <w:szCs w:val="24"/>
          <w:vertAlign w:val="superscript"/>
        </w:rPr>
        <w:t>2</w:t>
      </w:r>
      <w:r w:rsidR="000D057F">
        <w:rPr>
          <w:i/>
          <w:color w:val="000000"/>
          <w:sz w:val="24"/>
          <w:szCs w:val="24"/>
        </w:rPr>
        <w:t>C</w:t>
      </w:r>
      <w:r w:rsidRPr="00E81799">
        <w:rPr>
          <w:i/>
          <w:color w:val="000000"/>
          <w:sz w:val="24"/>
          <w:szCs w:val="24"/>
        </w:rPr>
        <w:t xml:space="preserve">entro </w:t>
      </w:r>
      <w:r w:rsidR="000D057F">
        <w:rPr>
          <w:i/>
          <w:color w:val="000000"/>
          <w:sz w:val="24"/>
          <w:szCs w:val="24"/>
        </w:rPr>
        <w:t>M</w:t>
      </w:r>
      <w:r w:rsidRPr="00E81799">
        <w:rPr>
          <w:i/>
          <w:color w:val="000000"/>
          <w:sz w:val="24"/>
          <w:szCs w:val="24"/>
        </w:rPr>
        <w:t>edico</w:t>
      </w:r>
      <w:r w:rsidR="000D057F">
        <w:rPr>
          <w:i/>
          <w:color w:val="000000"/>
          <w:sz w:val="24"/>
          <w:szCs w:val="24"/>
        </w:rPr>
        <w:t xml:space="preserve"> </w:t>
      </w:r>
      <w:r w:rsidR="00F861FC" w:rsidRPr="00E81799">
        <w:rPr>
          <w:i/>
          <w:color w:val="000000"/>
          <w:sz w:val="24"/>
          <w:szCs w:val="24"/>
        </w:rPr>
        <w:t>Iris</w:t>
      </w:r>
      <w:r w:rsidRPr="00E81799">
        <w:rPr>
          <w:i/>
          <w:color w:val="000000"/>
          <w:sz w:val="24"/>
          <w:szCs w:val="24"/>
        </w:rPr>
        <w:t xml:space="preserve">, Cosenza </w:t>
      </w:r>
      <w:r>
        <w:rPr>
          <w:i/>
          <w:color w:val="000000"/>
          <w:sz w:val="24"/>
          <w:szCs w:val="24"/>
        </w:rPr>
        <w:t>(IT)</w:t>
      </w:r>
    </w:p>
    <w:p w14:paraId="04F52EBA" w14:textId="63CD19F9" w:rsidR="00F861FC" w:rsidRPr="00F861FC" w:rsidRDefault="00F861FC" w:rsidP="000D057F">
      <w:pPr>
        <w:jc w:val="left"/>
        <w:rPr>
          <w:i/>
          <w:color w:val="000000"/>
          <w:sz w:val="24"/>
          <w:szCs w:val="24"/>
        </w:rPr>
      </w:pPr>
      <w:r>
        <w:rPr>
          <w:i/>
          <w:color w:val="000000"/>
          <w:sz w:val="24"/>
          <w:szCs w:val="24"/>
          <w:vertAlign w:val="superscript"/>
        </w:rPr>
        <w:t>3</w:t>
      </w:r>
      <w:r>
        <w:rPr>
          <w:i/>
          <w:color w:val="000000"/>
          <w:sz w:val="24"/>
          <w:szCs w:val="24"/>
        </w:rPr>
        <w:t>Dipartimento di Fisica, Università della Calabria. Rende (CS)</w:t>
      </w:r>
    </w:p>
    <w:p w14:paraId="00000006" w14:textId="67FFA645" w:rsidR="006D1649" w:rsidRDefault="00F861FC" w:rsidP="000D057F">
      <w:pPr>
        <w:jc w:val="left"/>
        <w:rPr>
          <w:i/>
          <w:color w:val="000000"/>
          <w:sz w:val="24"/>
          <w:szCs w:val="24"/>
        </w:rPr>
      </w:pPr>
      <w:r>
        <w:rPr>
          <w:i/>
          <w:color w:val="000000"/>
          <w:sz w:val="24"/>
          <w:szCs w:val="24"/>
          <w:vertAlign w:val="superscript"/>
        </w:rPr>
        <w:t>4</w:t>
      </w:r>
      <w:r w:rsidR="00563E52">
        <w:rPr>
          <w:i/>
          <w:color w:val="000000"/>
          <w:sz w:val="24"/>
          <w:szCs w:val="24"/>
        </w:rPr>
        <w:t>Liceo Scientifico G.B. Quadri, Vicenza (IT)</w:t>
      </w:r>
    </w:p>
    <w:p w14:paraId="00000007" w14:textId="77777777" w:rsidR="006D1649" w:rsidRDefault="006D1649">
      <w:pPr>
        <w:rPr>
          <w:b/>
          <w:color w:val="000000"/>
          <w:sz w:val="24"/>
          <w:szCs w:val="24"/>
        </w:rPr>
      </w:pPr>
    </w:p>
    <w:p w14:paraId="00000008" w14:textId="77777777" w:rsidR="006D1649" w:rsidRDefault="00563E52">
      <w:pPr>
        <w:rPr>
          <w:b/>
          <w:color w:val="000000"/>
          <w:sz w:val="24"/>
          <w:szCs w:val="24"/>
        </w:rPr>
      </w:pPr>
      <w:r>
        <w:rPr>
          <w:b/>
          <w:color w:val="000000"/>
          <w:sz w:val="24"/>
          <w:szCs w:val="24"/>
        </w:rPr>
        <w:t xml:space="preserve">Abstract </w:t>
      </w:r>
    </w:p>
    <w:p w14:paraId="00000009" w14:textId="359BB432" w:rsidR="006D1649" w:rsidRDefault="00853E85">
      <w:pPr>
        <w:rPr>
          <w:color w:val="000000"/>
        </w:rPr>
      </w:pPr>
      <w:r>
        <w:rPr>
          <w:color w:val="000000"/>
        </w:rPr>
        <w:t>I</w:t>
      </w:r>
      <w:r w:rsidRPr="00853E85">
        <w:rPr>
          <w:color w:val="000000"/>
        </w:rPr>
        <w:t>n questo lavoro viene presentata un’esperienza di apprendimento interdisciplinare della fisica dei fluidi, basata su progetto, che ha coinvolto: una classe universitaria del corso di Fisica per Biologi del CdS in Scienze e Tecnologie Biologiche di UniCal; un gruppo interclasse di studentesse e studenti del quarto anno di scuola secondaria di alcuni licei in attività PCTO presso l’Università, unitamente ad alcuni docenti di area scientifica delle scuole coinvolte; un team di medici oculisti; docenti ricercatori in Didattica della Fisica. Il percorso di apprendimento progettato, realizzato e attuato parzialmente (causa sopraggiunta crisi pandemica) è contestualizzato su una tematica medico-oculistica di grande rilievo in ordine all’educazione alla salute: la prevenzione del glaucoma. Il pieno coinvolgimento dei docenti delle scuole secondarie nella progettazione del percorso, nella realizzazione dei materiali didattici e nella (parziale) attuazione di esso, può costituire un esempio di formazione in servizio di carattere innovativo. Nel lavoro vengono altresì descritti in dettaglio due degli apparati sperimentali, appositamente progettati e realizzati nell’ambito di una tesi di laurea magistrale, che possono essere di interesse per un vasto pubblico di docenti della scuola secondaria, anche in virtù della loro semplicità di implementazione in un laboratorio didattico.</w:t>
      </w:r>
    </w:p>
    <w:p w14:paraId="0000000A" w14:textId="77777777" w:rsidR="006D1649" w:rsidRDefault="006D1649">
      <w:pPr>
        <w:rPr>
          <w:color w:val="000000"/>
          <w:sz w:val="24"/>
          <w:szCs w:val="24"/>
        </w:rPr>
      </w:pPr>
    </w:p>
    <w:p w14:paraId="7DA53469" w14:textId="77777777" w:rsidR="00853E85" w:rsidRPr="000D057F" w:rsidRDefault="00853E85" w:rsidP="00853E85">
      <w:pPr>
        <w:rPr>
          <w:b/>
          <w:color w:val="000000"/>
          <w:sz w:val="24"/>
          <w:szCs w:val="24"/>
          <w:lang w:val="en-US"/>
        </w:rPr>
      </w:pPr>
      <w:r w:rsidRPr="000D057F">
        <w:rPr>
          <w:b/>
          <w:color w:val="000000"/>
          <w:sz w:val="24"/>
          <w:szCs w:val="24"/>
          <w:lang w:val="en-US"/>
        </w:rPr>
        <w:t xml:space="preserve">Abstract </w:t>
      </w:r>
    </w:p>
    <w:p w14:paraId="72E94922" w14:textId="434AC660" w:rsidR="00853E85" w:rsidRDefault="00853E85" w:rsidP="00853E85">
      <w:pPr>
        <w:pBdr>
          <w:top w:val="nil"/>
          <w:left w:val="nil"/>
          <w:bottom w:val="nil"/>
          <w:right w:val="nil"/>
          <w:between w:val="nil"/>
        </w:pBdr>
        <w:spacing w:before="240" w:after="120"/>
        <w:rPr>
          <w:color w:val="000000"/>
          <w:lang w:val="en-US"/>
        </w:rPr>
      </w:pPr>
      <w:r>
        <w:rPr>
          <w:color w:val="000000"/>
          <w:lang w:val="en-US"/>
        </w:rPr>
        <w:t>In t</w:t>
      </w:r>
      <w:r w:rsidRPr="00853E85">
        <w:rPr>
          <w:color w:val="000000"/>
          <w:lang w:val="en-US"/>
        </w:rPr>
        <w:t xml:space="preserve">his work </w:t>
      </w:r>
      <w:r>
        <w:rPr>
          <w:color w:val="000000"/>
          <w:lang w:val="en-US"/>
        </w:rPr>
        <w:t xml:space="preserve">we </w:t>
      </w:r>
      <w:r w:rsidRPr="00853E85">
        <w:rPr>
          <w:color w:val="000000"/>
          <w:lang w:val="en-US"/>
        </w:rPr>
        <w:t>present an interdisciplinary</w:t>
      </w:r>
      <w:r w:rsidR="000D057F">
        <w:rPr>
          <w:color w:val="000000"/>
          <w:lang w:val="en-US"/>
        </w:rPr>
        <w:t>, project based,</w:t>
      </w:r>
      <w:r w:rsidRPr="00853E85">
        <w:rPr>
          <w:color w:val="000000"/>
          <w:lang w:val="en-US"/>
        </w:rPr>
        <w:t xml:space="preserve"> learning experience </w:t>
      </w:r>
      <w:r w:rsidR="0035625E">
        <w:rPr>
          <w:color w:val="000000"/>
          <w:lang w:val="en-US"/>
        </w:rPr>
        <w:t>about the</w:t>
      </w:r>
      <w:r w:rsidRPr="00853E85">
        <w:rPr>
          <w:color w:val="000000"/>
          <w:lang w:val="en-US"/>
        </w:rPr>
        <w:t xml:space="preserve"> physics</w:t>
      </w:r>
      <w:r w:rsidR="0035625E">
        <w:rPr>
          <w:color w:val="000000"/>
          <w:lang w:val="en-US"/>
        </w:rPr>
        <w:t xml:space="preserve"> of fluids</w:t>
      </w:r>
      <w:r w:rsidRPr="00853E85">
        <w:rPr>
          <w:color w:val="000000"/>
          <w:lang w:val="en-US"/>
        </w:rPr>
        <w:t xml:space="preserve">, </w:t>
      </w:r>
      <w:r w:rsidR="0035625E">
        <w:rPr>
          <w:color w:val="000000"/>
          <w:lang w:val="en-US"/>
        </w:rPr>
        <w:t>that</w:t>
      </w:r>
      <w:r w:rsidRPr="00853E85">
        <w:rPr>
          <w:color w:val="000000"/>
          <w:lang w:val="en-US"/>
        </w:rPr>
        <w:t xml:space="preserve"> involve</w:t>
      </w:r>
      <w:r w:rsidR="0035625E">
        <w:rPr>
          <w:color w:val="000000"/>
          <w:lang w:val="en-US"/>
        </w:rPr>
        <w:t>s</w:t>
      </w:r>
      <w:r w:rsidR="00775B4A">
        <w:rPr>
          <w:color w:val="000000"/>
          <w:lang w:val="en-US"/>
        </w:rPr>
        <w:t>:</w:t>
      </w:r>
      <w:r w:rsidR="0035625E">
        <w:rPr>
          <w:color w:val="000000"/>
          <w:lang w:val="en-US"/>
        </w:rPr>
        <w:t xml:space="preserve"> </w:t>
      </w:r>
      <w:r w:rsidR="0035625E" w:rsidRPr="0035625E">
        <w:rPr>
          <w:i/>
          <w:iCs/>
          <w:color w:val="000000"/>
          <w:lang w:val="en-US"/>
        </w:rPr>
        <w:t>(a)</w:t>
      </w:r>
      <w:r w:rsidRPr="00853E85">
        <w:rPr>
          <w:color w:val="000000"/>
          <w:lang w:val="en-US"/>
        </w:rPr>
        <w:t xml:space="preserve"> a university class</w:t>
      </w:r>
      <w:r w:rsidR="000D057F">
        <w:rPr>
          <w:color w:val="000000"/>
          <w:lang w:val="en-US"/>
        </w:rPr>
        <w:t xml:space="preserve"> attending the Physics for Biologists course within the degree course in</w:t>
      </w:r>
      <w:r w:rsidRPr="00853E85">
        <w:rPr>
          <w:color w:val="000000"/>
          <w:lang w:val="en-US"/>
        </w:rPr>
        <w:t xml:space="preserve"> </w:t>
      </w:r>
      <w:r w:rsidRPr="000D057F">
        <w:rPr>
          <w:color w:val="000000"/>
          <w:lang w:val="en-US"/>
        </w:rPr>
        <w:t>Biological Sciences and Technologies of</w:t>
      </w:r>
      <w:r w:rsidR="000D057F">
        <w:rPr>
          <w:color w:val="000000"/>
          <w:lang w:val="en-US"/>
        </w:rPr>
        <w:t xml:space="preserve"> the</w:t>
      </w:r>
      <w:r w:rsidRPr="000D057F">
        <w:rPr>
          <w:color w:val="000000"/>
          <w:lang w:val="en-US"/>
        </w:rPr>
        <w:t xml:space="preserve"> </w:t>
      </w:r>
      <w:r w:rsidR="00775B4A" w:rsidRPr="00853E85">
        <w:rPr>
          <w:color w:val="000000"/>
          <w:lang w:val="en-US"/>
        </w:rPr>
        <w:t>University</w:t>
      </w:r>
      <w:r w:rsidR="00775B4A">
        <w:rPr>
          <w:color w:val="000000"/>
          <w:lang w:val="en-US"/>
        </w:rPr>
        <w:t xml:space="preserve"> of Calabria</w:t>
      </w:r>
      <w:r w:rsidRPr="00853E85">
        <w:rPr>
          <w:color w:val="000000"/>
          <w:lang w:val="en-US"/>
        </w:rPr>
        <w:t>;</w:t>
      </w:r>
      <w:r w:rsidR="0035625E">
        <w:rPr>
          <w:color w:val="000000"/>
          <w:lang w:val="en-US"/>
        </w:rPr>
        <w:t xml:space="preserve"> </w:t>
      </w:r>
      <w:r w:rsidR="0035625E" w:rsidRPr="0035625E">
        <w:rPr>
          <w:i/>
          <w:iCs/>
          <w:color w:val="000000"/>
          <w:lang w:val="en-US"/>
        </w:rPr>
        <w:t>(</w:t>
      </w:r>
      <w:r w:rsidR="0035625E">
        <w:rPr>
          <w:i/>
          <w:iCs/>
          <w:color w:val="000000"/>
          <w:lang w:val="en-US"/>
        </w:rPr>
        <w:t>b</w:t>
      </w:r>
      <w:r w:rsidR="0035625E" w:rsidRPr="0035625E">
        <w:rPr>
          <w:i/>
          <w:iCs/>
          <w:color w:val="000000"/>
          <w:lang w:val="en-US"/>
        </w:rPr>
        <w:t>)</w:t>
      </w:r>
      <w:r w:rsidRPr="00853E85">
        <w:rPr>
          <w:color w:val="000000"/>
          <w:lang w:val="en-US"/>
        </w:rPr>
        <w:t xml:space="preserve"> an interclass group of fourth</w:t>
      </w:r>
      <w:r w:rsidR="00775B4A">
        <w:rPr>
          <w:color w:val="000000"/>
          <w:lang w:val="en-US"/>
        </w:rPr>
        <w:t>-</w:t>
      </w:r>
      <w:r w:rsidRPr="00853E85">
        <w:rPr>
          <w:color w:val="000000"/>
          <w:lang w:val="en-US"/>
        </w:rPr>
        <w:t xml:space="preserve">year secondary school </w:t>
      </w:r>
      <w:r w:rsidR="0035625E">
        <w:rPr>
          <w:color w:val="000000"/>
          <w:lang w:val="en-US"/>
        </w:rPr>
        <w:t>students</w:t>
      </w:r>
      <w:r w:rsidR="000D057F">
        <w:rPr>
          <w:color w:val="000000"/>
          <w:lang w:val="en-US"/>
        </w:rPr>
        <w:t>, engaged in an orientation path at</w:t>
      </w:r>
      <w:r w:rsidRPr="00853E85">
        <w:rPr>
          <w:color w:val="000000"/>
          <w:lang w:val="en-US"/>
        </w:rPr>
        <w:t xml:space="preserve"> the University</w:t>
      </w:r>
      <w:r w:rsidR="00775B4A">
        <w:rPr>
          <w:color w:val="000000"/>
          <w:lang w:val="en-US"/>
        </w:rPr>
        <w:t xml:space="preserve"> of Calabria</w:t>
      </w:r>
      <w:r w:rsidR="0035625E">
        <w:rPr>
          <w:color w:val="000000"/>
          <w:lang w:val="en-US"/>
        </w:rPr>
        <w:t xml:space="preserve">); </w:t>
      </w:r>
      <w:r w:rsidR="0035625E" w:rsidRPr="0035625E">
        <w:rPr>
          <w:i/>
          <w:iCs/>
          <w:color w:val="000000"/>
          <w:lang w:val="en-US"/>
        </w:rPr>
        <w:t>(</w:t>
      </w:r>
      <w:r w:rsidR="0035625E">
        <w:rPr>
          <w:i/>
          <w:iCs/>
          <w:color w:val="000000"/>
          <w:lang w:val="en-US"/>
        </w:rPr>
        <w:t>c</w:t>
      </w:r>
      <w:r w:rsidR="0035625E" w:rsidRPr="0035625E">
        <w:rPr>
          <w:i/>
          <w:iCs/>
          <w:color w:val="000000"/>
          <w:lang w:val="en-US"/>
        </w:rPr>
        <w:t>)</w:t>
      </w:r>
      <w:r w:rsidR="0035625E">
        <w:rPr>
          <w:i/>
          <w:iCs/>
          <w:color w:val="000000"/>
          <w:lang w:val="en-US"/>
        </w:rPr>
        <w:t xml:space="preserve"> </w:t>
      </w:r>
      <w:r w:rsidRPr="00853E85">
        <w:rPr>
          <w:color w:val="000000"/>
          <w:lang w:val="en-US"/>
        </w:rPr>
        <w:t xml:space="preserve">some teachers </w:t>
      </w:r>
      <w:r w:rsidR="00775B4A">
        <w:rPr>
          <w:color w:val="000000"/>
          <w:lang w:val="en-US"/>
        </w:rPr>
        <w:lastRenderedPageBreak/>
        <w:t>from</w:t>
      </w:r>
      <w:r w:rsidRPr="00853E85">
        <w:rPr>
          <w:color w:val="000000"/>
          <w:lang w:val="en-US"/>
        </w:rPr>
        <w:t xml:space="preserve"> the scientific area of ​​the </w:t>
      </w:r>
      <w:r w:rsidR="0035625E" w:rsidRPr="00853E85">
        <w:rPr>
          <w:color w:val="000000"/>
          <w:lang w:val="en-US"/>
        </w:rPr>
        <w:t xml:space="preserve">involved </w:t>
      </w:r>
      <w:r w:rsidRPr="00853E85">
        <w:rPr>
          <w:color w:val="000000"/>
          <w:lang w:val="en-US"/>
        </w:rPr>
        <w:t xml:space="preserve">schools; </w:t>
      </w:r>
      <w:r w:rsidR="0035625E" w:rsidRPr="0035625E">
        <w:rPr>
          <w:i/>
          <w:iCs/>
          <w:color w:val="000000"/>
          <w:lang w:val="en-US"/>
        </w:rPr>
        <w:t>(</w:t>
      </w:r>
      <w:r w:rsidR="0035625E">
        <w:rPr>
          <w:i/>
          <w:iCs/>
          <w:color w:val="000000"/>
          <w:lang w:val="en-US"/>
        </w:rPr>
        <w:t>d</w:t>
      </w:r>
      <w:r w:rsidR="0035625E" w:rsidRPr="0035625E">
        <w:rPr>
          <w:i/>
          <w:iCs/>
          <w:color w:val="000000"/>
          <w:lang w:val="en-US"/>
        </w:rPr>
        <w:t>)</w:t>
      </w:r>
      <w:r w:rsidR="0035625E">
        <w:rPr>
          <w:i/>
          <w:iCs/>
          <w:color w:val="000000"/>
          <w:lang w:val="en-US"/>
        </w:rPr>
        <w:t xml:space="preserve"> </w:t>
      </w:r>
      <w:r w:rsidRPr="00853E85">
        <w:rPr>
          <w:color w:val="000000"/>
          <w:lang w:val="en-US"/>
        </w:rPr>
        <w:t xml:space="preserve">a team of ophthalmologists; </w:t>
      </w:r>
      <w:r w:rsidR="0035625E">
        <w:rPr>
          <w:i/>
          <w:iCs/>
          <w:color w:val="000000"/>
          <w:lang w:val="en-US"/>
        </w:rPr>
        <w:t xml:space="preserve">(e) </w:t>
      </w:r>
      <w:r w:rsidR="00775B4A">
        <w:rPr>
          <w:color w:val="000000"/>
          <w:lang w:val="en-US"/>
        </w:rPr>
        <w:t xml:space="preserve">some </w:t>
      </w:r>
      <w:r w:rsidRPr="00853E85">
        <w:rPr>
          <w:color w:val="000000"/>
          <w:lang w:val="en-US"/>
        </w:rPr>
        <w:t xml:space="preserve">researchers in Physics </w:t>
      </w:r>
      <w:r w:rsidR="0035625E">
        <w:rPr>
          <w:color w:val="000000"/>
          <w:lang w:val="en-US"/>
        </w:rPr>
        <w:t>Education</w:t>
      </w:r>
      <w:r w:rsidRPr="00853E85">
        <w:rPr>
          <w:color w:val="000000"/>
          <w:lang w:val="en-US"/>
        </w:rPr>
        <w:t>. The</w:t>
      </w:r>
      <w:r w:rsidR="000D057F">
        <w:rPr>
          <w:color w:val="000000"/>
          <w:lang w:val="en-US"/>
        </w:rPr>
        <w:t xml:space="preserve"> </w:t>
      </w:r>
      <w:r w:rsidR="000D057F" w:rsidRPr="00853E85">
        <w:rPr>
          <w:color w:val="000000"/>
          <w:lang w:val="en-US"/>
        </w:rPr>
        <w:t>designed</w:t>
      </w:r>
      <w:r w:rsidR="000D057F">
        <w:rPr>
          <w:color w:val="000000"/>
          <w:lang w:val="en-US"/>
        </w:rPr>
        <w:t>, built</w:t>
      </w:r>
      <w:r w:rsidR="000D057F" w:rsidRPr="00853E85">
        <w:rPr>
          <w:color w:val="000000"/>
          <w:lang w:val="en-US"/>
        </w:rPr>
        <w:t xml:space="preserve"> and partially implemented</w:t>
      </w:r>
      <w:r w:rsidRPr="00853E85">
        <w:rPr>
          <w:color w:val="000000"/>
          <w:lang w:val="en-US"/>
        </w:rPr>
        <w:t xml:space="preserve"> </w:t>
      </w:r>
      <w:r w:rsidR="00775B4A">
        <w:rPr>
          <w:color w:val="000000"/>
          <w:lang w:val="en-US"/>
        </w:rPr>
        <w:t xml:space="preserve">experimental </w:t>
      </w:r>
      <w:r w:rsidRPr="00853E85">
        <w:rPr>
          <w:color w:val="000000"/>
          <w:lang w:val="en-US"/>
        </w:rPr>
        <w:t xml:space="preserve">learning path is contextualized on a medical-ophthalmology issue of great importance in terms of health education: the prevention of glaucoma. The full involvement of secondary school teachers in the planning </w:t>
      </w:r>
      <w:r w:rsidR="0035625E">
        <w:rPr>
          <w:color w:val="000000"/>
          <w:lang w:val="en-US"/>
        </w:rPr>
        <w:t>phase</w:t>
      </w:r>
      <w:r w:rsidRPr="00853E85">
        <w:rPr>
          <w:color w:val="000000"/>
          <w:lang w:val="en-US"/>
        </w:rPr>
        <w:t xml:space="preserve">, in the creation of teaching materials and in the (partial) implementation of </w:t>
      </w:r>
      <w:r w:rsidR="00775B4A">
        <w:rPr>
          <w:color w:val="000000"/>
          <w:lang w:val="en-US"/>
        </w:rPr>
        <w:t>the activities</w:t>
      </w:r>
      <w:r w:rsidRPr="00853E85">
        <w:rPr>
          <w:color w:val="000000"/>
          <w:lang w:val="en-US"/>
        </w:rPr>
        <w:t>, constitute</w:t>
      </w:r>
      <w:r w:rsidR="005068AF">
        <w:rPr>
          <w:color w:val="000000"/>
          <w:lang w:val="en-US"/>
        </w:rPr>
        <w:t>s</w:t>
      </w:r>
      <w:r w:rsidRPr="00853E85">
        <w:rPr>
          <w:color w:val="000000"/>
          <w:lang w:val="en-US"/>
        </w:rPr>
        <w:t xml:space="preserve"> an example of</w:t>
      </w:r>
      <w:r w:rsidR="00775B4A">
        <w:rPr>
          <w:color w:val="000000"/>
          <w:lang w:val="en-US"/>
        </w:rPr>
        <w:t xml:space="preserve"> an innovative</w:t>
      </w:r>
      <w:r w:rsidRPr="00853E85">
        <w:rPr>
          <w:color w:val="000000"/>
          <w:lang w:val="en-US"/>
        </w:rPr>
        <w:t xml:space="preserve"> in-service training </w:t>
      </w:r>
      <w:r w:rsidR="00775B4A">
        <w:rPr>
          <w:color w:val="000000"/>
          <w:lang w:val="en-US"/>
        </w:rPr>
        <w:t>activity</w:t>
      </w:r>
      <w:r w:rsidRPr="00853E85">
        <w:rPr>
          <w:color w:val="000000"/>
          <w:lang w:val="en-US"/>
        </w:rPr>
        <w:t xml:space="preserve">. The work also describes in detail two of the experimental </w:t>
      </w:r>
      <w:r w:rsidR="00775B4A">
        <w:rPr>
          <w:color w:val="000000"/>
          <w:lang w:val="en-US"/>
        </w:rPr>
        <w:t>setups</w:t>
      </w:r>
      <w:r w:rsidRPr="00853E85">
        <w:rPr>
          <w:color w:val="000000"/>
          <w:lang w:val="en-US"/>
        </w:rPr>
        <w:t xml:space="preserve"> </w:t>
      </w:r>
      <w:r w:rsidR="00775B4A">
        <w:rPr>
          <w:color w:val="000000"/>
          <w:lang w:val="en-US"/>
        </w:rPr>
        <w:t>specifically</w:t>
      </w:r>
      <w:r w:rsidRPr="00853E85">
        <w:rPr>
          <w:color w:val="000000"/>
          <w:lang w:val="en-US"/>
        </w:rPr>
        <w:t xml:space="preserve"> designed and built in the context of a master degree thesis, which may be of interest to a wide audience of secondary school teachers, </w:t>
      </w:r>
      <w:r w:rsidR="00775B4A">
        <w:rPr>
          <w:color w:val="000000"/>
          <w:lang w:val="en-US"/>
        </w:rPr>
        <w:t>due to</w:t>
      </w:r>
      <w:r w:rsidRPr="00853E85">
        <w:rPr>
          <w:color w:val="000000"/>
          <w:lang w:val="en-US"/>
        </w:rPr>
        <w:t xml:space="preserve"> their simplicity of implementation in an educational laboratory. </w:t>
      </w:r>
    </w:p>
    <w:p w14:paraId="26A92AB7" w14:textId="77777777" w:rsidR="000D057F" w:rsidRPr="00775B4A" w:rsidRDefault="000D057F" w:rsidP="00853E85">
      <w:pPr>
        <w:pBdr>
          <w:top w:val="nil"/>
          <w:left w:val="nil"/>
          <w:bottom w:val="nil"/>
          <w:right w:val="nil"/>
          <w:between w:val="nil"/>
        </w:pBdr>
        <w:spacing w:before="240" w:after="120"/>
        <w:rPr>
          <w:color w:val="000000"/>
          <w:lang w:val="en-US"/>
        </w:rPr>
      </w:pPr>
    </w:p>
    <w:p w14:paraId="0000000C" w14:textId="2AEA2063" w:rsidR="006D1649" w:rsidRDefault="00563E52" w:rsidP="00853E85">
      <w:pPr>
        <w:pBdr>
          <w:top w:val="nil"/>
          <w:left w:val="nil"/>
          <w:bottom w:val="nil"/>
          <w:right w:val="nil"/>
          <w:between w:val="nil"/>
        </w:pBdr>
        <w:spacing w:before="240" w:after="120"/>
        <w:rPr>
          <w:rFonts w:eastAsia="Times New Roman"/>
          <w:b/>
          <w:color w:val="000000"/>
          <w:sz w:val="24"/>
          <w:szCs w:val="24"/>
        </w:rPr>
      </w:pPr>
      <w:r>
        <w:rPr>
          <w:rFonts w:eastAsia="Times New Roman"/>
          <w:b/>
          <w:color w:val="000000"/>
          <w:sz w:val="24"/>
          <w:szCs w:val="24"/>
        </w:rPr>
        <w:t>1. Introduzione</w:t>
      </w:r>
    </w:p>
    <w:p w14:paraId="0000000D" w14:textId="0F2AC1D2" w:rsidR="006D1649" w:rsidRDefault="00563E52">
      <w:pPr>
        <w:rPr>
          <w:color w:val="000000"/>
        </w:rPr>
      </w:pPr>
      <w:r>
        <w:rPr>
          <w:color w:val="000000"/>
        </w:rPr>
        <w:t>La società moderna in continua e sempre più rapida evoluzione impone continui cambiamenti alle metodologie didattiche e alle relazioni educative fra studenti e docenti. L’orientamento emergente nel campo della didattica (in particolare della fisica) è quello di privilegiare situazioni di apprendimento partecipate al fine di stimolare interesse, curiosità e motivazioni dei discenti. I laboratori didattici tradizional</w:t>
      </w:r>
      <w:r w:rsidR="00FD5905">
        <w:rPr>
          <w:color w:val="000000"/>
        </w:rPr>
        <w:t>i</w:t>
      </w:r>
      <w:r>
        <w:rPr>
          <w:color w:val="000000"/>
        </w:rPr>
        <w:t xml:space="preserve"> vengono sostituiti da attività </w:t>
      </w:r>
      <w:r>
        <w:rPr>
          <w:i/>
          <w:color w:val="000000"/>
        </w:rPr>
        <w:t>hands-on</w:t>
      </w:r>
      <w:r>
        <w:rPr>
          <w:color w:val="000000"/>
        </w:rPr>
        <w:t xml:space="preserve"> spesso allestite mediante materiali </w:t>
      </w:r>
      <w:r w:rsidR="00670FF1">
        <w:rPr>
          <w:color w:val="000000"/>
        </w:rPr>
        <w:t>di uso comune e</w:t>
      </w:r>
      <w:r>
        <w:rPr>
          <w:color w:val="000000"/>
        </w:rPr>
        <w:t xml:space="preserve"> di facile reperibilità, così da favorire la massima accessibilità, la piena fruibilità e un’ampia libertà di personalizzazione. Molto spesso tali laboratori non richiedono particolari abilità sperimentali da parte dei discenti e possono, quindi, essere proposti anche a studenti alle prime armi con la fisica </w:t>
      </w:r>
      <w:r w:rsidR="00721748">
        <w:rPr>
          <w:color w:val="000000"/>
        </w:rPr>
        <w:fldChar w:fldCharType="begin" w:fldLock="1"/>
      </w:r>
      <w:r w:rsidR="00721748">
        <w:rPr>
          <w:color w:val="000000"/>
        </w:rPr>
        <w:instrText>ADDIN CSL_CITATION {"citationItems":[{"id":"ITEM-1","itemData":{"DOI":"10.1393/gdf/i2019-10330-8","author":[{"dropping-particle":"","family":"Bozzo","given":"G.","non-dropping-particle":"","parse-names":false,"suffix":""}],"container-title":"Giornale di Fisica","id":"ITEM-1","issue":"2","issued":{"date-parts":[["2019"]]},"page":"139-155","title":"Video-analisi di sistemi di riferimento in caduta libera e Principio di Equivalenza","type":"article-journal","volume":"LX"},"uris":["http://www.mendeley.com/documents/?uuid=19d01a14-e85e-46ea-930b-2c295b1ec85f"]}],"mendeley":{"formattedCitation":"[1]","plainTextFormattedCitation":"[1]","previouslyFormattedCitation":"[1]"},"properties":{"noteIndex":0},"schema":"https://github.com/citation-style-language/schema/raw/master/csl-citation.json"}</w:instrText>
      </w:r>
      <w:r w:rsidR="00721748">
        <w:rPr>
          <w:color w:val="000000"/>
        </w:rPr>
        <w:fldChar w:fldCharType="separate"/>
      </w:r>
      <w:r w:rsidR="00721748" w:rsidRPr="00721748">
        <w:rPr>
          <w:noProof/>
          <w:color w:val="000000"/>
        </w:rPr>
        <w:t>[1]</w:t>
      </w:r>
      <w:r w:rsidR="00721748">
        <w:rPr>
          <w:color w:val="000000"/>
        </w:rPr>
        <w:fldChar w:fldCharType="end"/>
      </w:r>
      <w:r>
        <w:rPr>
          <w:color w:val="000000"/>
        </w:rPr>
        <w:t xml:space="preserve">. </w:t>
      </w:r>
    </w:p>
    <w:p w14:paraId="056820E2" w14:textId="3A626E1B" w:rsidR="00995960" w:rsidRDefault="00563E52">
      <w:pPr>
        <w:rPr>
          <w:color w:val="00B0F0"/>
        </w:rPr>
      </w:pPr>
      <w:r>
        <w:t xml:space="preserve">La </w:t>
      </w:r>
      <w:r w:rsidR="00700151">
        <w:t>ricerca didattica</w:t>
      </w:r>
      <w:r>
        <w:t xml:space="preserve"> internazionale negli ultimi decenni ha evidenziato il valore dell’apprendimento costruito attraverso attività pratiche situate in specifici contesti d’uso, strettamente legate alla vita quotidiana: si parla di “apprendimento attraverso il fare” noto come </w:t>
      </w:r>
      <w:r>
        <w:rPr>
          <w:i/>
        </w:rPr>
        <w:t>learning by doing</w:t>
      </w:r>
      <w:r>
        <w:t xml:space="preserve"> </w:t>
      </w:r>
      <w:r w:rsidR="00721748">
        <w:fldChar w:fldCharType="begin" w:fldLock="1"/>
      </w:r>
      <w:r w:rsidR="0001267D">
        <w:instrText>ADDIN CSL_CITATION {"citationItems":[{"id":"ITEM-1","itemData":{"author":[{"dropping-particle":"","family":"Jonassen","given":"D H","non-dropping-particle":"","parse-names":false,"suffix":""},{"dropping-particle":"","family":"Carr","given":"C S","non-dropping-particle":"","parse-names":false,"suffix":""}],"container-title":"Computers as Cognitive Tools. Volume Two: No More Walls","editor":[{"dropping-particle":"","family":"Lajoie","given":"S P","non-dropping-particle":"","parse-names":false,"suffix":""}],"id":"ITEM-1","issued":{"date-parts":[["2000"]]},"publisher":"Lawrence Erlbaum Associates","publisher-place":"Mahwah (New Jersey)","title":"Mindtools: Affording Multiple Knowledge Representations for Learning","type":"chapter"},"uris":["http://www.mendeley.com/documents/?uuid=55426ffa-e596-457f-8f2c-71fc77842a7e"]}],"mendeley":{"formattedCitation":"[2]","plainTextFormattedCitation":"[2]","previouslyFormattedCitation":"[2]"},"properties":{"noteIndex":0},"schema":"https://github.com/citation-style-language/schema/raw/master/csl-citation.json"}</w:instrText>
      </w:r>
      <w:r w:rsidR="00721748">
        <w:fldChar w:fldCharType="separate"/>
      </w:r>
      <w:r w:rsidR="00721748" w:rsidRPr="00721748">
        <w:rPr>
          <w:noProof/>
        </w:rPr>
        <w:t>[2]</w:t>
      </w:r>
      <w:r w:rsidR="00721748">
        <w:fldChar w:fldCharType="end"/>
      </w:r>
      <w:r>
        <w:t xml:space="preserve">. Non si tratta di un semplice approccio operativo, bensì di un apprendimento basato sull’indagine e sul ragionamento, che permette al discente di essere al centro del processo di apprendimento. Tale approccio, </w:t>
      </w:r>
      <w:r w:rsidRPr="00332085">
        <w:t>tipico</w:t>
      </w:r>
      <w:r>
        <w:t xml:space="preserve"> del metodo IBSE (</w:t>
      </w:r>
      <w:r w:rsidRPr="00853E85">
        <w:rPr>
          <w:i/>
          <w:iCs/>
        </w:rPr>
        <w:t>Inquiry Based Science Education</w:t>
      </w:r>
      <w:r>
        <w:t>)</w:t>
      </w:r>
      <w:r w:rsidR="006253CA">
        <w:t xml:space="preserve"> </w:t>
      </w:r>
      <w:r w:rsidR="006253CA">
        <w:fldChar w:fldCharType="begin" w:fldLock="1"/>
      </w:r>
      <w:r w:rsidR="000C1330">
        <w:instrText>ADDIN CSL_CITATION {"citationItems":[{"id":"ITEM-1","itemData":{"URL":"http://www.scuolavalore.indire.it/nuove_risorse/linquiry-based-science-education-ibse-nella-formazione-docenti-e-nella-pratica-didattica/","author":[{"dropping-particle":"","family":"Pascucci","given":"A","non-dropping-particle":"","parse-names":false,"suffix":""}],"id":"ITEM-1","issued":{"date-parts":[["2014"]]},"title":"L'Inquiry Based Science Education – IBSE nella formazione docenti e nella pratica didattica Indice","type":"webpage"},"uris":["http://www.mendeley.com/documents/?uuid=a602fff1-8881-4cf8-88d1-e69897ef98b3"]}],"mendeley":{"formattedCitation":"[3]","plainTextFormattedCitation":"[3]","previouslyFormattedCitation":"[3]"},"properties":{"noteIndex":0},"schema":"https://github.com/citation-style-language/schema/raw/master/csl-citation.json"}</w:instrText>
      </w:r>
      <w:r w:rsidR="006253CA">
        <w:fldChar w:fldCharType="separate"/>
      </w:r>
      <w:r w:rsidR="006253CA" w:rsidRPr="006253CA">
        <w:rPr>
          <w:noProof/>
        </w:rPr>
        <w:t>[3]</w:t>
      </w:r>
      <w:r w:rsidR="006253CA">
        <w:fldChar w:fldCharType="end"/>
      </w:r>
      <w:r>
        <w:t xml:space="preserve">, ben si presta ad attività didattiche </w:t>
      </w:r>
      <w:r w:rsidR="00332085">
        <w:t>caratteristiche</w:t>
      </w:r>
      <w:r>
        <w:t xml:space="preserve"> della metodologia </w:t>
      </w:r>
      <w:r w:rsidRPr="00332085">
        <w:t>nota</w:t>
      </w:r>
      <w:r>
        <w:t xml:space="preserve"> come </w:t>
      </w:r>
      <w:r>
        <w:rPr>
          <w:i/>
        </w:rPr>
        <w:t>Flipped Classroom</w:t>
      </w:r>
      <w:r>
        <w:t>, in cui l’attenzione è centrata sullo studente e sulle sue esigenze formative e in cui la lezione viene costruita in itinere dagli studenti stessi supportati dal docente che assume, quindi, un ruolo di facilitatore. La didattica capovolta consiste in un capovolgimento (appunto) dei tempi e dei luoghi dell’apprendimento e la sua efficacia è strettamente legata alla possibilità da parte dei discenti di sviluppare uno studio autonomo nella fase iniziale, prevalentemente attraverso strumenti e risorse digitali di ogni genere (anche se si possono utilizzare risorse differenti quali mappe concettuali o il libro di testo). Il supporto delle tecnologie gioca quindi un ruolo chiave nel favorire un primo approccio autonomo a nuove tematiche che poi verranno discusse in classe e condivise attraverso lavori in gruppi o brainstorming in itinere o finali.</w:t>
      </w:r>
    </w:p>
    <w:p w14:paraId="0000000E" w14:textId="2AC28AF6" w:rsidR="006D1649" w:rsidRPr="00C74240" w:rsidRDefault="00995960">
      <w:pPr>
        <w:rPr>
          <w:color w:val="000000" w:themeColor="text1"/>
        </w:rPr>
      </w:pPr>
      <w:r w:rsidRPr="00C74240">
        <w:rPr>
          <w:color w:val="000000" w:themeColor="text1"/>
        </w:rPr>
        <w:t>In questo contesto, frequenti sono le richieste</w:t>
      </w:r>
      <w:r w:rsidR="00FA52AE" w:rsidRPr="00C74240">
        <w:rPr>
          <w:color w:val="000000" w:themeColor="text1"/>
        </w:rPr>
        <w:t xml:space="preserve"> di formazione specifica</w:t>
      </w:r>
      <w:r w:rsidRPr="00C74240">
        <w:rPr>
          <w:color w:val="000000" w:themeColor="text1"/>
        </w:rPr>
        <w:t xml:space="preserve"> </w:t>
      </w:r>
      <w:r w:rsidR="00FA52AE" w:rsidRPr="00C74240">
        <w:rPr>
          <w:color w:val="000000" w:themeColor="text1"/>
        </w:rPr>
        <w:t xml:space="preserve">che provengono dai docenti in servizio, raccolte dall’università nel contesto – ad esempio </w:t>
      </w:r>
      <w:r w:rsidR="00D45C0C" w:rsidRPr="00C74240">
        <w:rPr>
          <w:color w:val="000000" w:themeColor="text1"/>
        </w:rPr>
        <w:t>–</w:t>
      </w:r>
      <w:r w:rsidR="00FA52AE" w:rsidRPr="00C74240">
        <w:rPr>
          <w:color w:val="000000" w:themeColor="text1"/>
        </w:rPr>
        <w:t xml:space="preserve"> </w:t>
      </w:r>
      <w:r w:rsidR="00D45C0C" w:rsidRPr="00C74240">
        <w:rPr>
          <w:color w:val="000000" w:themeColor="text1"/>
        </w:rPr>
        <w:t>dei PLS.</w:t>
      </w:r>
    </w:p>
    <w:p w14:paraId="0000000F" w14:textId="740D80C8" w:rsidR="006D1649" w:rsidRDefault="00D45C0C">
      <w:pPr>
        <w:rPr>
          <w:color w:val="000000"/>
        </w:rPr>
      </w:pPr>
      <w:r>
        <w:rPr>
          <w:color w:val="000000"/>
        </w:rPr>
        <w:t>È</w:t>
      </w:r>
      <w:r w:rsidR="00E44E1F">
        <w:rPr>
          <w:color w:val="000000"/>
        </w:rPr>
        <w:t xml:space="preserve"> anche</w:t>
      </w:r>
      <w:r>
        <w:rPr>
          <w:color w:val="000000"/>
        </w:rPr>
        <w:t xml:space="preserve"> per dare un esempio di risposta a tali richieste di formazione che </w:t>
      </w:r>
      <w:r w:rsidR="00563E52">
        <w:rPr>
          <w:color w:val="000000"/>
        </w:rPr>
        <w:t>nasce il lavoro qui presentato, con l’obiettivo di allestire un</w:t>
      </w:r>
      <w:r w:rsidR="00536D3F">
        <w:rPr>
          <w:color w:val="000000"/>
        </w:rPr>
        <w:t>’</w:t>
      </w:r>
      <w:r w:rsidR="00563E52">
        <w:rPr>
          <w:color w:val="000000"/>
        </w:rPr>
        <w:t xml:space="preserve">attività di didattica interdisciplinare, nell’ambito biomedico/sanitario, avente come </w:t>
      </w:r>
      <w:r w:rsidR="00563E52">
        <w:rPr>
          <w:color w:val="000000"/>
        </w:rPr>
        <w:lastRenderedPageBreak/>
        <w:t xml:space="preserve">target studenti universitari (iscritti nell’A.A. 2019/2020 al primo anno dei corsi di laurea triennale in Scienze e Tecnologie Biologiche dell’Università della Calabria) e gruppi misti di studenti di diverse scuole </w:t>
      </w:r>
      <w:r w:rsidR="00563E52" w:rsidRPr="006253CA">
        <w:rPr>
          <w:color w:val="000000"/>
        </w:rPr>
        <w:t xml:space="preserve">secondarie calabresi di secondo grado. </w:t>
      </w:r>
      <w:r w:rsidR="00E44E1F">
        <w:rPr>
          <w:color w:val="000000"/>
        </w:rPr>
        <w:t>È opportuno sottolineare inoltre che i dispositivi didattici impiegati nell’attività e descritti in questo articolo sono stati sviluppati nell’ambito di una</w:t>
      </w:r>
      <w:r w:rsidR="00563E52" w:rsidRPr="006253CA">
        <w:rPr>
          <w:color w:val="000000"/>
        </w:rPr>
        <w:t xml:space="preserve"> tesi di </w:t>
      </w:r>
      <w:r w:rsidR="00563E52" w:rsidRPr="006253CA">
        <w:t>laurea</w:t>
      </w:r>
      <w:r w:rsidR="00563E52" w:rsidRPr="006253CA">
        <w:rPr>
          <w:color w:val="000000"/>
        </w:rPr>
        <w:t xml:space="preserve"> magistrale </w:t>
      </w:r>
      <w:r w:rsidR="0001267D" w:rsidRPr="006253CA">
        <w:rPr>
          <w:color w:val="000000"/>
        </w:rPr>
        <w:t xml:space="preserve">svolta presso il </w:t>
      </w:r>
      <w:r w:rsidR="00E44E1F">
        <w:rPr>
          <w:color w:val="000000"/>
        </w:rPr>
        <w:t>D</w:t>
      </w:r>
      <w:r w:rsidR="0001267D" w:rsidRPr="006253CA">
        <w:rPr>
          <w:color w:val="000000"/>
        </w:rPr>
        <w:t>ipartiment</w:t>
      </w:r>
      <w:r w:rsidR="00137786" w:rsidRPr="006253CA">
        <w:rPr>
          <w:color w:val="000000"/>
        </w:rPr>
        <w:t>o</w:t>
      </w:r>
      <w:r w:rsidR="0001267D" w:rsidRPr="006253CA">
        <w:rPr>
          <w:color w:val="000000"/>
        </w:rPr>
        <w:t xml:space="preserve"> di </w:t>
      </w:r>
      <w:r w:rsidR="00E44E1F">
        <w:rPr>
          <w:color w:val="000000"/>
        </w:rPr>
        <w:t>F</w:t>
      </w:r>
      <w:r w:rsidR="0001267D" w:rsidRPr="006253CA">
        <w:rPr>
          <w:color w:val="000000"/>
        </w:rPr>
        <w:t xml:space="preserve">isica dell’università della Calabria </w:t>
      </w:r>
      <w:r w:rsidR="0001267D" w:rsidRPr="006253CA">
        <w:rPr>
          <w:color w:val="000000"/>
        </w:rPr>
        <w:fldChar w:fldCharType="begin" w:fldLock="1"/>
      </w:r>
      <w:r w:rsidR="000C1330">
        <w:rPr>
          <w:color w:val="000000"/>
        </w:rPr>
        <w:instrText>ADDIN CSL_CITATION {"citationItems":[{"id":"ITEM-1","itemData":{"author":[{"dropping-particle":"","family":"Madeo","given":"L","non-dropping-particle":"","parse-names":false,"suffix":""}],"id":"ITEM-1","issued":{"date-parts":[["2020"]]},"publisher":"Università della Calabria","title":"Percorso innovativo di laboratorio reale/virtuale per l'apprendimento della statica dei fluidi","type":"thesis"},"uris":["http://www.mendeley.com/documents/?uuid=fdd9d9a4-4d0f-49cc-a3d7-9f249a551c5b"]}],"mendeley":{"formattedCitation":"[4]","plainTextFormattedCitation":"[4]","previouslyFormattedCitation":"[4]"},"properties":{"noteIndex":0},"schema":"https://github.com/citation-style-language/schema/raw/master/csl-citation.json"}</w:instrText>
      </w:r>
      <w:r w:rsidR="0001267D" w:rsidRPr="006253CA">
        <w:rPr>
          <w:color w:val="000000"/>
        </w:rPr>
        <w:fldChar w:fldCharType="separate"/>
      </w:r>
      <w:r w:rsidR="006253CA" w:rsidRPr="006253CA">
        <w:rPr>
          <w:noProof/>
          <w:color w:val="000000"/>
        </w:rPr>
        <w:t>[4]</w:t>
      </w:r>
      <w:r w:rsidR="0001267D" w:rsidRPr="006253CA">
        <w:rPr>
          <w:color w:val="000000"/>
        </w:rPr>
        <w:fldChar w:fldCharType="end"/>
      </w:r>
      <w:r w:rsidR="0001267D" w:rsidRPr="006253CA">
        <w:rPr>
          <w:color w:val="000000"/>
        </w:rPr>
        <w:t>.</w:t>
      </w:r>
    </w:p>
    <w:p w14:paraId="00000010" w14:textId="33EA98EB" w:rsidR="006D1649" w:rsidRDefault="00563E52">
      <w:pPr>
        <w:rPr>
          <w:color w:val="000000"/>
        </w:rPr>
      </w:pPr>
      <w:r>
        <w:rPr>
          <w:color w:val="000000"/>
        </w:rPr>
        <w:t>Il percorso didattico è stato progettato inizialmente come sequenza di attività didattiche laboratoriali finalizzate ad approfondire alcune problematiche legate a una grave malattia oculare che rappresenta la seconda causa al mondo di cecità acquisita: il glaucoma. Tale patologia è dovuta principalmente al persistere di una elevata pressione intraoculare che, per altri versi, è asintomatica. È quindi importante, sul piano dell’educazione sanitaria, sensibilizzare i cittadini su di essa in maniera tale da promuoverne la prevenzione. A tal fine, l’idea originale del percorso didattico prevedeva una serie di attività sperimentali attraverso cui guidare l’apprendimento dei discenti</w:t>
      </w:r>
      <w:r w:rsidR="00A05E54">
        <w:rPr>
          <w:color w:val="000000"/>
        </w:rPr>
        <w:t>,</w:t>
      </w:r>
      <w:r>
        <w:rPr>
          <w:color w:val="000000"/>
        </w:rPr>
        <w:t xml:space="preserve"> a partire dallo studio di alcune leggi fisiche dell’idrostatica fino allo studio di un </w:t>
      </w:r>
      <w:r w:rsidR="00A05E54">
        <w:rPr>
          <w:color w:val="000000"/>
        </w:rPr>
        <w:t xml:space="preserve">modello semplificato </w:t>
      </w:r>
      <w:r>
        <w:rPr>
          <w:color w:val="000000"/>
        </w:rPr>
        <w:t>di occhio umano realizzato in laboratorio: si tratta quindi di un percorso interdisciplinare che prevede lo studio dell’idrostatica attraverso l’impiego di un modello del globo oculare e degli effetti della pressione interna sulla pervietà dei vasi sanguigni.</w:t>
      </w:r>
    </w:p>
    <w:p w14:paraId="00000011" w14:textId="414C197C" w:rsidR="006D1649" w:rsidRDefault="00563E52">
      <w:r>
        <w:rPr>
          <w:color w:val="000000"/>
        </w:rPr>
        <w:t>Sfortunatamente, il sopraggiungere della crisi epidemica e le conseguenti misure restrittive emanate dal</w:t>
      </w:r>
      <w:r w:rsidR="00A05E54">
        <w:rPr>
          <w:color w:val="000000"/>
        </w:rPr>
        <w:t xml:space="preserve"> Governo e, a cascata, dagli Enti locali</w:t>
      </w:r>
      <w:r>
        <w:rPr>
          <w:color w:val="000000"/>
        </w:rPr>
        <w:t xml:space="preserve"> ha reso necessario una riorganizzazione dell’idea progettuale iniziale, che è stata quindi riconvertita, per la parte rivolta alle scuole, in didattica laboratoriale virtuale. Questo è stato possibile grazie all’utilizzo di strumenti digitali interattivi (quali software</w:t>
      </w:r>
      <w:r w:rsidR="00A05E54">
        <w:rPr>
          <w:color w:val="000000"/>
        </w:rPr>
        <w:t xml:space="preserve"> specifici</w:t>
      </w:r>
      <w:r>
        <w:rPr>
          <w:color w:val="000000"/>
        </w:rPr>
        <w:t xml:space="preserve">, piattaforme online dedicate, etc.) e alla progettazione di schede-guida </w:t>
      </w:r>
      <w:r>
        <w:t>laboratoriali opportunamente strutturate</w:t>
      </w:r>
      <w:r w:rsidR="000C1330">
        <w:t xml:space="preserve"> </w:t>
      </w:r>
      <w:r w:rsidR="000C1330">
        <w:fldChar w:fldCharType="begin" w:fldLock="1"/>
      </w:r>
      <w:r w:rsidR="00F16DBD">
        <w:instrText>ADDIN CSL_CITATION {"citationItems":[{"id":"ITEM-1","itemData":{"id":"ITEM-1","issued":{"date-parts":[["0"]]},"title":"https://phet.colorado.edu","type":"webpage"},"uris":["http://www.mendeley.com/documents/?uuid=abbab90c-d356-4af6-8f7f-8656b62b2964"]}],"mendeley":{"formattedCitation":"[5]","plainTextFormattedCitation":"[5]","previouslyFormattedCitation":"[5]"},"properties":{"noteIndex":0},"schema":"https://github.com/citation-style-language/schema/raw/master/csl-citation.json"}</w:instrText>
      </w:r>
      <w:r w:rsidR="000C1330">
        <w:fldChar w:fldCharType="separate"/>
      </w:r>
      <w:r w:rsidR="000C1330" w:rsidRPr="000C1330">
        <w:rPr>
          <w:noProof/>
        </w:rPr>
        <w:t>[5]</w:t>
      </w:r>
      <w:r w:rsidR="000C1330">
        <w:fldChar w:fldCharType="end"/>
      </w:r>
      <w:r>
        <w:t>.</w:t>
      </w:r>
    </w:p>
    <w:p w14:paraId="7F62A7F7" w14:textId="45125B56" w:rsidR="00F861FC" w:rsidRDefault="00563E52">
      <w:pPr>
        <w:rPr>
          <w:color w:val="000000"/>
        </w:rPr>
      </w:pPr>
      <w:r>
        <w:rPr>
          <w:color w:val="000000"/>
        </w:rPr>
        <w:t>L’articolo è organizzato nel seguente modo. Nella sezione 2 viene fornita una breve rassegna delle principali difficoltà di apprendimento</w:t>
      </w:r>
      <w:r w:rsidR="00A05E54">
        <w:rPr>
          <w:color w:val="000000"/>
        </w:rPr>
        <w:t xml:space="preserve"> di statica dei fluidi</w:t>
      </w:r>
      <w:r>
        <w:rPr>
          <w:color w:val="000000"/>
        </w:rPr>
        <w:t xml:space="preserve"> evidenziate dalla letteratura internazionale</w:t>
      </w:r>
      <w:r w:rsidR="0086552E">
        <w:rPr>
          <w:color w:val="000000"/>
        </w:rPr>
        <w:t>, unitamente alla descrizione del percorso di apprendimento progettato</w:t>
      </w:r>
      <w:r w:rsidR="00A05E54">
        <w:rPr>
          <w:color w:val="000000"/>
        </w:rPr>
        <w:t>. N</w:t>
      </w:r>
      <w:r>
        <w:rPr>
          <w:color w:val="000000"/>
        </w:rPr>
        <w:t>ella sezione 3</w:t>
      </w:r>
      <w:r w:rsidR="0086552E">
        <w:rPr>
          <w:color w:val="000000"/>
        </w:rPr>
        <w:t xml:space="preserve"> </w:t>
      </w:r>
      <w:r w:rsidR="00A05E54">
        <w:rPr>
          <w:color w:val="000000"/>
        </w:rPr>
        <w:t xml:space="preserve">viene introdotta la problematica del glaucoma, con un taglio divulgativo e in un’ottica di educazione alla salute. Tale introduzione è basata sul seminario di innesco </w:t>
      </w:r>
      <w:r w:rsidR="0086552E">
        <w:rPr>
          <w:color w:val="000000"/>
        </w:rPr>
        <w:t>tenuto da medici oculisti</w:t>
      </w:r>
      <w:r w:rsidR="002324DD">
        <w:rPr>
          <w:color w:val="000000"/>
        </w:rPr>
        <w:t xml:space="preserve"> nell’ambito del corso di Fisica per Biologi del CdS di Scienze e Tecnologie Biologiche d</w:t>
      </w:r>
      <w:r w:rsidR="00DE17D5">
        <w:rPr>
          <w:color w:val="000000"/>
        </w:rPr>
        <w:t>ell’università della Calabria</w:t>
      </w:r>
      <w:r w:rsidR="002324DD">
        <w:rPr>
          <w:color w:val="000000"/>
        </w:rPr>
        <w:t>, con la partecipazione anche dei docenti della scuola secondaria</w:t>
      </w:r>
      <w:r w:rsidR="0086552E">
        <w:rPr>
          <w:color w:val="000000"/>
        </w:rPr>
        <w:t xml:space="preserve"> (Figura 1).</w:t>
      </w:r>
      <w:r>
        <w:rPr>
          <w:color w:val="000000"/>
        </w:rPr>
        <w:t xml:space="preserve"> </w:t>
      </w:r>
      <w:r w:rsidR="0086552E">
        <w:rPr>
          <w:color w:val="000000"/>
        </w:rPr>
        <w:t xml:space="preserve">Nella </w:t>
      </w:r>
      <w:r>
        <w:rPr>
          <w:color w:val="000000"/>
        </w:rPr>
        <w:t xml:space="preserve">sezione 4 viene illustrato </w:t>
      </w:r>
      <w:r w:rsidR="0086552E">
        <w:rPr>
          <w:color w:val="000000"/>
        </w:rPr>
        <w:t>l’apparato sperimentale sviluppato, che costituisce il cuore strumentale del percorso di apprendimento</w:t>
      </w:r>
      <w:r w:rsidR="00BE13DE">
        <w:rPr>
          <w:color w:val="000000"/>
        </w:rPr>
        <w:t>, e viene descritto un esempio di sequenza laboratoriale basata su di esso</w:t>
      </w:r>
      <w:r w:rsidR="0086552E">
        <w:rPr>
          <w:color w:val="000000"/>
        </w:rPr>
        <w:t xml:space="preserve">. </w:t>
      </w:r>
      <w:r w:rsidR="00BE13DE">
        <w:rPr>
          <w:color w:val="000000"/>
        </w:rPr>
        <w:t>Nell’ultima sezione sono tratte le conclusioni, con particolare riferimento alle potenzialità del modello formativo progettato</w:t>
      </w:r>
      <w:r w:rsidR="002324DD">
        <w:rPr>
          <w:color w:val="000000"/>
        </w:rPr>
        <w:t>,</w:t>
      </w:r>
      <w:r w:rsidR="00BE13DE">
        <w:rPr>
          <w:color w:val="000000"/>
        </w:rPr>
        <w:t xml:space="preserve"> e solo in parte attuato, </w:t>
      </w:r>
      <w:r>
        <w:rPr>
          <w:color w:val="000000"/>
        </w:rPr>
        <w:t xml:space="preserve">in vista </w:t>
      </w:r>
      <w:r w:rsidR="00BE13DE">
        <w:rPr>
          <w:color w:val="000000"/>
        </w:rPr>
        <w:t>d</w:t>
      </w:r>
      <w:r w:rsidR="002324DD">
        <w:rPr>
          <w:color w:val="000000"/>
        </w:rPr>
        <w:t>i un’auspicabile sperimentazione completa</w:t>
      </w:r>
      <w:r w:rsidR="00BE13DE">
        <w:rPr>
          <w:color w:val="000000"/>
        </w:rPr>
        <w:t xml:space="preserve"> al termine della pandemia</w:t>
      </w:r>
      <w:r>
        <w:rPr>
          <w:color w:val="000000"/>
        </w:rPr>
        <w:t>.</w:t>
      </w:r>
      <w:r w:rsidR="002324DD">
        <w:rPr>
          <w:color w:val="000000"/>
        </w:rPr>
        <w:t xml:space="preserve"> </w:t>
      </w:r>
    </w:p>
    <w:p w14:paraId="6C46D49F" w14:textId="77777777" w:rsidR="007E48BE" w:rsidRDefault="007E48BE">
      <w:pPr>
        <w:rPr>
          <w:color w:val="000000"/>
        </w:rPr>
      </w:pPr>
      <w:bookmarkStart w:id="0" w:name="_GoBack"/>
      <w:bookmarkEnd w:id="0"/>
    </w:p>
    <w:p w14:paraId="00000013" w14:textId="7B73C03A" w:rsidR="006D1649" w:rsidRDefault="00563E52">
      <w:pPr>
        <w:pBdr>
          <w:top w:val="nil"/>
          <w:left w:val="nil"/>
          <w:bottom w:val="nil"/>
          <w:right w:val="nil"/>
          <w:between w:val="nil"/>
        </w:pBdr>
        <w:spacing w:before="240" w:after="120"/>
        <w:rPr>
          <w:rFonts w:eastAsia="Times New Roman"/>
          <w:b/>
          <w:color w:val="000000"/>
          <w:sz w:val="24"/>
          <w:szCs w:val="24"/>
        </w:rPr>
      </w:pPr>
      <w:r>
        <w:rPr>
          <w:rFonts w:eastAsia="Times New Roman"/>
          <w:b/>
          <w:color w:val="000000"/>
          <w:sz w:val="24"/>
          <w:szCs w:val="24"/>
        </w:rPr>
        <w:t xml:space="preserve">2. Difficoltà di apprendimento </w:t>
      </w:r>
      <w:r w:rsidR="00F861FC">
        <w:rPr>
          <w:rFonts w:eastAsia="Times New Roman"/>
          <w:b/>
          <w:color w:val="000000"/>
          <w:sz w:val="24"/>
          <w:szCs w:val="24"/>
        </w:rPr>
        <w:t>della</w:t>
      </w:r>
      <w:r>
        <w:rPr>
          <w:rFonts w:eastAsia="Times New Roman"/>
          <w:b/>
          <w:color w:val="000000"/>
          <w:sz w:val="24"/>
          <w:szCs w:val="24"/>
        </w:rPr>
        <w:t xml:space="preserve"> fisica dei fluidi </w:t>
      </w:r>
      <w:r w:rsidR="004E1E70">
        <w:rPr>
          <w:rFonts w:eastAsia="Times New Roman"/>
          <w:b/>
          <w:color w:val="000000"/>
          <w:sz w:val="24"/>
          <w:szCs w:val="24"/>
        </w:rPr>
        <w:t>e struttura del percorso</w:t>
      </w:r>
    </w:p>
    <w:p w14:paraId="00000014" w14:textId="1318A0C0" w:rsidR="006D1649" w:rsidRDefault="00563E52">
      <w:pPr>
        <w:rPr>
          <w:highlight w:val="white"/>
        </w:rPr>
      </w:pPr>
      <w:r>
        <w:rPr>
          <w:highlight w:val="white"/>
        </w:rPr>
        <w:t>Ciascun individuo</w:t>
      </w:r>
      <w:r w:rsidR="00006800">
        <w:rPr>
          <w:highlight w:val="white"/>
        </w:rPr>
        <w:t xml:space="preserve">, fin dai primi anni della propria vita, </w:t>
      </w:r>
      <w:r>
        <w:rPr>
          <w:highlight w:val="white"/>
        </w:rPr>
        <w:t xml:space="preserve">sviluppa modelli interpretativi </w:t>
      </w:r>
      <w:r w:rsidR="00006800">
        <w:rPr>
          <w:highlight w:val="white"/>
        </w:rPr>
        <w:t>del</w:t>
      </w:r>
      <w:r>
        <w:rPr>
          <w:highlight w:val="white"/>
        </w:rPr>
        <w:t xml:space="preserve"> mondo che </w:t>
      </w:r>
      <w:r w:rsidR="004E1E70">
        <w:rPr>
          <w:highlight w:val="white"/>
        </w:rPr>
        <w:t xml:space="preserve">lo </w:t>
      </w:r>
      <w:r>
        <w:rPr>
          <w:highlight w:val="white"/>
        </w:rPr>
        <w:t>circonda</w:t>
      </w:r>
      <w:r w:rsidR="00272B3B">
        <w:rPr>
          <w:highlight w:val="white"/>
        </w:rPr>
        <w:t xml:space="preserve"> </w:t>
      </w:r>
      <w:r w:rsidR="00272B3B">
        <w:rPr>
          <w:highlight w:val="white"/>
        </w:rPr>
        <w:fldChar w:fldCharType="begin" w:fldLock="1"/>
      </w:r>
      <w:r w:rsidR="00E2648E">
        <w:rPr>
          <w:highlight w:val="white"/>
        </w:rPr>
        <w:instrText>ADDIN CSL_CITATION {"citationItems":[{"id":"ITEM-1","itemData":{"DOI":"10.1393/gdf/i2019-10330-8","author":[{"dropping-particle":"","family":"Bozzo","given":"G.","non-dropping-particle":"","parse-names":false,"suffix":""}],"container-title":"Giornale di Fisica","id":"ITEM-1","issue":"2","issued":{"date-parts":[["2019"]]},"page":"139-155","title":"Video-analisi di sistemi di riferimento in caduta libera e Principio di Equivalenza","type":"article-journal","volume":"LX"},"uris":["http://www.mendeley.com/documents/?uuid=3566b41e-5741-411b-973a-d4d28e3de02c"]},{"id":"ITEM-2","itemData":{"DOI":"10.1103/PhysRevSTPER.5.010110","author":[{"dropping-particle":"","family":"Brookes","given":"David T","non-dropping-particle":"","parse-names":false,"suffix":""},{"dropping-particle":"","family":"Etkina","given":"Eugenia","non-dropping-particle":"","parse-names":false,"suffix":""}],"container-title":"PHYS. REV. ST PHYS. EDUC. RES.","id":"ITEM-2","issued":{"date-parts":[["2009"]]},"page":"010110-1-13","title":"“Force,” ontology, and language","type":"article-journal","volume":"5"},"uris":["http://www.mendeley.com/documents/?uuid=4251b12d-1316-46ef-b5a7-debe7d402d8b"]}],"mendeley":{"formattedCitation":"[1], [6]","manualFormatting":"[1,6]","plainTextFormattedCitation":"[1], [6]","previouslyFormattedCitation":"[1], [6]"},"properties":{"noteIndex":0},"schema":"https://github.com/citation-style-language/schema/raw/master/csl-citation.json"}</w:instrText>
      </w:r>
      <w:r w:rsidR="00272B3B">
        <w:rPr>
          <w:highlight w:val="white"/>
        </w:rPr>
        <w:fldChar w:fldCharType="separate"/>
      </w:r>
      <w:r w:rsidR="000C1330" w:rsidRPr="000C1330">
        <w:rPr>
          <w:noProof/>
          <w:highlight w:val="white"/>
        </w:rPr>
        <w:t>[1,6]</w:t>
      </w:r>
      <w:r w:rsidR="00272B3B">
        <w:rPr>
          <w:highlight w:val="white"/>
        </w:rPr>
        <w:fldChar w:fldCharType="end"/>
      </w:r>
      <w:r w:rsidR="004E1E70">
        <w:rPr>
          <w:highlight w:val="white"/>
        </w:rPr>
        <w:t>.</w:t>
      </w:r>
      <w:r>
        <w:rPr>
          <w:highlight w:val="white"/>
        </w:rPr>
        <w:t xml:space="preserve"> </w:t>
      </w:r>
      <w:r w:rsidR="004E1E70">
        <w:rPr>
          <w:highlight w:val="white"/>
        </w:rPr>
        <w:t xml:space="preserve">Questo è particolarmente vero per </w:t>
      </w:r>
      <w:r>
        <w:rPr>
          <w:highlight w:val="white"/>
        </w:rPr>
        <w:t>la fisica dei fluidi, vist</w:t>
      </w:r>
      <w:r w:rsidR="004E1E70">
        <w:rPr>
          <w:highlight w:val="white"/>
        </w:rPr>
        <w:t>a</w:t>
      </w:r>
      <w:r>
        <w:rPr>
          <w:highlight w:val="white"/>
        </w:rPr>
        <w:t xml:space="preserve"> </w:t>
      </w:r>
      <w:r w:rsidR="004E1E70">
        <w:rPr>
          <w:highlight w:val="white"/>
        </w:rPr>
        <w:t xml:space="preserve">la pervasività del comportamento dei fluidi stessi </w:t>
      </w:r>
      <w:r>
        <w:rPr>
          <w:highlight w:val="white"/>
        </w:rPr>
        <w:t>nella vita quotidiana</w:t>
      </w:r>
      <w:r w:rsidR="004E1E70">
        <w:rPr>
          <w:highlight w:val="white"/>
        </w:rPr>
        <w:t>.</w:t>
      </w:r>
      <w:r>
        <w:rPr>
          <w:highlight w:val="white"/>
        </w:rPr>
        <w:t xml:space="preserve"> </w:t>
      </w:r>
      <w:r w:rsidR="004E1E70">
        <w:rPr>
          <w:highlight w:val="white"/>
        </w:rPr>
        <w:t xml:space="preserve">Sin </w:t>
      </w:r>
      <w:r>
        <w:rPr>
          <w:highlight w:val="white"/>
        </w:rPr>
        <w:t xml:space="preserve">da piccoli, infatti, giochiamo con l’acqua, sperimentiamo il </w:t>
      </w:r>
      <w:r>
        <w:rPr>
          <w:highlight w:val="white"/>
        </w:rPr>
        <w:lastRenderedPageBreak/>
        <w:t>galleggiamento dei corpi, osserviamo getti d’acqua fuoriuscire da tubature,</w:t>
      </w:r>
      <w:r w:rsidR="004E1E70">
        <w:rPr>
          <w:highlight w:val="white"/>
        </w:rPr>
        <w:t xml:space="preserve"> vediamo i rigagnoli di pioggia scorrere sui vetri,</w:t>
      </w:r>
      <w:r>
        <w:rPr>
          <w:highlight w:val="white"/>
        </w:rPr>
        <w:t xml:space="preserve"> e così via. La letteratura internazionale ha messo in evidenza numerose difficoltà di apprendimento inerenti alla fisica dei fluidi, molto spesso derivanti da esperienze di vita quotidiana e dal conseguente sviluppo spontaneo di schemi concettuali “sensoriali” </w:t>
      </w:r>
      <w:r w:rsidR="00272B3B">
        <w:rPr>
          <w:highlight w:val="white"/>
        </w:rPr>
        <w:fldChar w:fldCharType="begin" w:fldLock="1"/>
      </w:r>
      <w:r w:rsidR="00F16DBD">
        <w:rPr>
          <w:highlight w:val="white"/>
        </w:rPr>
        <w:instrText>ADDIN CSL_CITATION {"citationItems":[{"id":"ITEM-1","itemData":{"author":[{"dropping-particle":"","family":"Grimellini Tomasini","given":"N","non-dropping-particle":"","parse-names":false,"suffix":""},{"dropping-particle":"","family":"Segrè","given":"G","non-dropping-particle":"","parse-names":false,"suffix":""}],"id":"ITEM-1","issued":{"date-parts":[["1991"]]},"publisher":"La Nuova Italia","publisher-place":"Firenze","title":"Conoscenze scientifiche: le rappresentazioni mentali degli studenti","type":"book"},"uris":["http://www.mendeley.com/documents/?uuid=fdbd997f-f3a9-4f74-aa44-d1ef60726a85"]},{"id":"ITEM-2","itemData":{"author":[{"dropping-particle":"","family":"Cavallini","given":"G","non-dropping-particle":"","parse-names":false,"suffix":""}],"id":"ITEM-2","issued":{"date-parts":[["1995"]]},"publisher":"La Nuova Italia","publisher-place":"Firenze","title":"La formazione dei concetti scientifici. Senso comune, scienza, apprendimento","type":"book"},"uris":["http://www.mendeley.com/documents/?uuid=8aa27b0b-7fe4-4cf9-af2a-d45b8b14c6c6"]}],"mendeley":{"formattedCitation":"[7], [8]","plainTextFormattedCitation":"[7], [8]","previouslyFormattedCitation":"[7], [8]"},"properties":{"noteIndex":0},"schema":"https://github.com/citation-style-language/schema/raw/master/csl-citation.json"}</w:instrText>
      </w:r>
      <w:r w:rsidR="00272B3B">
        <w:rPr>
          <w:highlight w:val="white"/>
        </w:rPr>
        <w:fldChar w:fldCharType="separate"/>
      </w:r>
      <w:r w:rsidR="000C1330" w:rsidRPr="000C1330">
        <w:rPr>
          <w:noProof/>
          <w:highlight w:val="white"/>
        </w:rPr>
        <w:t>[7,8]</w:t>
      </w:r>
      <w:r w:rsidR="00272B3B">
        <w:rPr>
          <w:highlight w:val="white"/>
        </w:rPr>
        <w:fldChar w:fldCharType="end"/>
      </w:r>
      <w:r w:rsidR="00272B3B">
        <w:rPr>
          <w:highlight w:val="white"/>
        </w:rPr>
        <w:t xml:space="preserve"> </w:t>
      </w:r>
      <w:r>
        <w:rPr>
          <w:highlight w:val="white"/>
        </w:rPr>
        <w:t>che influenzano la comprensione di tali fenomeni da parte degli studenti</w:t>
      </w:r>
      <w:r w:rsidR="004E1E70">
        <w:rPr>
          <w:highlight w:val="white"/>
        </w:rPr>
        <w:t xml:space="preserve">, </w:t>
      </w:r>
      <w:r w:rsidR="00006800">
        <w:rPr>
          <w:highlight w:val="white"/>
        </w:rPr>
        <w:t>allorché</w:t>
      </w:r>
      <w:r w:rsidR="004E1E70">
        <w:rPr>
          <w:highlight w:val="white"/>
        </w:rPr>
        <w:t xml:space="preserve"> vengono guidati verso lo sviluppo di una conoscenza maggiormente formalizzata</w:t>
      </w:r>
      <w:r>
        <w:rPr>
          <w:highlight w:val="white"/>
        </w:rPr>
        <w:t xml:space="preserve">. </w:t>
      </w:r>
      <w:r w:rsidR="004E1E70">
        <w:t xml:space="preserve">Tra </w:t>
      </w:r>
      <w:r>
        <w:t>le difficoltà di apprendimento</w:t>
      </w:r>
      <w:r w:rsidR="004E1E70">
        <w:t>, particolare attenzione è stata riservata dalla ricerca didattica ai</w:t>
      </w:r>
      <w:r>
        <w:t xml:space="preserve"> concetti fondamentali di pressione, densità e portata.  </w:t>
      </w:r>
    </w:p>
    <w:p w14:paraId="00000015" w14:textId="21B436CC" w:rsidR="006D1649" w:rsidRDefault="00563E52">
      <w:r w:rsidRPr="008F2C06">
        <w:t xml:space="preserve">Per esempio, alcune importanti criticità da un punto di vista didattico legate alla spinta di Archimede riguardano le difficoltà </w:t>
      </w:r>
      <w:r w:rsidRPr="008F2C06">
        <w:rPr>
          <w:i/>
        </w:rPr>
        <w:t>(a)</w:t>
      </w:r>
      <w:r w:rsidRPr="008F2C06">
        <w:t xml:space="preserve"> nel discriminare i concetti di volume e massa (densità)</w:t>
      </w:r>
      <w:r w:rsidR="008F2C06">
        <w:t xml:space="preserve"> </w:t>
      </w:r>
      <w:r w:rsidR="008F2C06">
        <w:fldChar w:fldCharType="begin" w:fldLock="1"/>
      </w:r>
      <w:r w:rsidR="00F16DBD">
        <w:instrText>ADDIN CSL_CITATION {"citationItems":[{"id":"ITEM-1","itemData":{"DOI":"10.1119/1.3191688","ISSN":"0002-9505","abstract":"Many students have incorrect ideas about sinking and floating. Traditional instruction typically fails to address these ideas. Prior research-based interventions have required much time and/or good understanding of prerequisite concepts. This article describes an interactive lecture activity on buoyancy that has proven successful at addressing common conceptual difficulties with a smaller investment of time. © 2009, American Association of Physics Teachers. All rights reserved.","author":[{"dropping-particle":"","family":"Loverude","given":"M E","non-dropping-particle":"","parse-names":false,"suffix":""}],"container-title":"American Journal of Physics","id":"ITEM-1","issue":"10","issued":{"date-parts":[["2009"]]},"page":"897-901","title":"A research-based interactive lecture demonstration on sinking and floating","type":"article-journal","volume":"77"},"uris":["http://www.mendeley.com/documents/?uuid=473b9aca-295b-4da2-b152-f37922445272"]},{"id":"ITEM-2","itemData":{"DOI":"10.1119/1.3192767","ISSN":"0002-9505","abstract":"We describe an investigation of student learning of the concept of pressure in a static liquid. We document patterns of student answers and explanations in response to written and interview questions. We find that many undergraduate students fail to develop a correct understanding of pressure in this context. Many students have difficulty identifying the forces that act on a liquid and relating these forces to pressure. We describe the development and assessment of research-based instructional materials designed to address student difficulties with pressure and provide evidence that these materials can improve student understanding. © 2010 American Association of Physics Teachers.","author":[{"dropping-particle":"","family":"Loverude","given":"M. E.","non-dropping-particle":"","parse-names":false,"suffix":""},{"dropping-particle":"","family":"Heron","given":"P. R. L.","non-dropping-particle":"","parse-names":false,"suffix":""},{"dropping-particle":"","family":"Kautz","given":"C. H.","non-dropping-particle":"","parse-names":false,"suffix":""}],"container-title":"American Journal of Physics","id":"ITEM-2","issue":"1","issued":{"date-parts":[["2010"]]},"page":"75-85","title":"Identifying and addressing student difficulties with hydrostatic pressure","type":"article-journal","volume":"78"},"uris":["http://www.mendeley.com/documents/?uuid=a3d354c1-1255-453a-839d-8e766b60caaa"]},{"id":"ITEM-3","itemData":{"DOI":"10.1119/1.1607335","ISSN":"0002-9505","abstract":"This paper is the first of two that describe how research on student understanding of Archimedes' principle is being used to guide the development of instructional materials on this topic. Our results indicate that standard instruction on hydrostatics leaves many science and engineering majors unable to predict and explain the sinking and floating behavior of simple objects. A number of serious and persistent difficulties with the concepts and principles used to analyze such behavior are identified. Although some of these difficulties are specific to the concept of the buoyant force, many others seem to reflect lingering confusion about concepts that are widely assumed to be understood by students before the study of hydrostatics begins. © 2003 American Association of Physics Teachers.","author":[{"dropping-particle":"","family":"Loverude","given":"Michael E.","non-dropping-particle":"","parse-names":false,"suffix":""},{"dropping-particle":"","family":"Kautz","given":"Christian H.","non-dropping-particle":"","parse-names":false,"suffix":""},{"dropping-particle":"","family":"Heron","given":"Paula R. L.","non-dropping-particle":"","parse-names":false,"suffix":""}],"container-title":"American Journal of Physics","id":"ITEM-3","issue":"11","issued":{"date-parts":[["2003"]]},"page":"1178-1187","title":"Helping students develop an understanding of Archimedes’ principle. I. Research on student understanding","type":"article-journal","volume":"71"},"uris":["http://www.mendeley.com/documents/?uuid=01b4ad59-f2d3-416e-94c5-a0bd8f3c8761"]}],"mendeley":{"formattedCitation":"[9]–[11]","plainTextFormattedCitation":"[9]–[11]","previouslyFormattedCitation":"[9]–[11]"},"properties":{"noteIndex":0},"schema":"https://github.com/citation-style-language/schema/raw/master/csl-citation.json"}</w:instrText>
      </w:r>
      <w:r w:rsidR="008F2C06">
        <w:fldChar w:fldCharType="separate"/>
      </w:r>
      <w:r w:rsidR="000C1330" w:rsidRPr="000C1330">
        <w:rPr>
          <w:noProof/>
        </w:rPr>
        <w:t>[9–11]</w:t>
      </w:r>
      <w:r w:rsidR="008F2C06">
        <w:fldChar w:fldCharType="end"/>
      </w:r>
      <w:r w:rsidR="004E1E70" w:rsidRPr="008F2C06">
        <w:t>,</w:t>
      </w:r>
      <w:r w:rsidRPr="008F2C06">
        <w:t xml:space="preserve"> </w:t>
      </w:r>
      <w:r w:rsidRPr="008F2C06">
        <w:rPr>
          <w:i/>
        </w:rPr>
        <w:t xml:space="preserve">(b) </w:t>
      </w:r>
      <w:r w:rsidRPr="008F2C06">
        <w:t xml:space="preserve">nel riconoscere che nel principio di Archimede il volume rilevante è quello del liquido spostato e non quello del </w:t>
      </w:r>
      <w:r w:rsidR="004E1E70" w:rsidRPr="008F2C06">
        <w:t>corpo che</w:t>
      </w:r>
      <w:r w:rsidR="004E1E70">
        <w:t xml:space="preserve"> riceve la spinta idrostatica</w:t>
      </w:r>
      <w:r w:rsidR="008F2C06">
        <w:t xml:space="preserve"> </w:t>
      </w:r>
      <w:r w:rsidR="008F2C06">
        <w:fldChar w:fldCharType="begin" w:fldLock="1"/>
      </w:r>
      <w:r w:rsidR="00E2648E">
        <w:instrText>ADDIN CSL_CITATION {"citationItems":[{"id":"ITEM-1","itemData":{"DOI":"10.1119/1.3191688","ISSN":"0002-9505","abstract":"Many students have incorrect ideas about sinking and floating. Traditional instruction typically fails to address these ideas. Prior research-based interventions have required much time and/or good understanding of prerequisite concepts. This article describes an interactive lecture activity on buoyancy that has proven successful at addressing common conceptual difficulties with a smaller investment of time. © 2009, American Association of Physics Teachers. All rights reserved.","author":[{"dropping-particle":"","family":"Loverude","given":"M E","non-dropping-particle":"","parse-names":false,"suffix":""}],"container-title":"American Journal of Physics","id":"ITEM-1","issue":"10","issued":{"date-parts":[["2009"]]},"page":"897-901","title":"A research-based interactive lecture demonstration on sinking and floating","type":"article-journal","volume":"77"},"uris":["http://www.mendeley.com/documents/?uuid=473b9aca-295b-4da2-b152-f37922445272"]},{"id":"ITEM-2","itemData":{"DOI":"10.1119/1.3192767","ISSN":"0002-9505","abstract":"We describe an investigation of student learning of the concept of pressure in a static liquid. We document patterns of student answers and explanations in response to written and interview questions. We find that many undergraduate students fail to develop a correct understanding of pressure in this context. Many students have difficulty identifying the forces that act on a liquid and relating these forces to pressure. We describe the development and assessment of research-based instructional materials designed to address student difficulties with pressure and provide evidence that these materials can improve student understanding. © 2010 American Association of Physics Teachers.","author":[{"dropping-particle":"","family":"Loverude","given":"M. E.","non-dropping-particle":"","parse-names":false,"suffix":""},{"dropping-particle":"","family":"Heron","given":"P. R. L.","non-dropping-particle":"","parse-names":false,"suffix":""},{"dropping-particle":"","family":"Kautz","given":"C. H.","non-dropping-particle":"","parse-names":false,"suffix":""}],"container-title":"American Journal of Physics","id":"ITEM-2","issue":"1","issued":{"date-parts":[["2010"]]},"page":"75-85","title":"Identifying and addressing student difficulties with hydrostatic pressure","type":"article-journal","volume":"78"},"uris":["http://www.mendeley.com/documents/?uuid=a3d354c1-1255-453a-839d-8e766b60caaa"]},{"id":"ITEM-3","itemData":{"DOI":"10.1119/1.1607335","ISSN":"0002-9505","abstract":"This paper is the first of two that describe how research on student understanding of Archimedes' principle is being used to guide the development of instructional materials on this topic. Our results indicate that standard instruction on hydrostatics leaves many science and engineering majors unable to predict and explain the sinking and floating behavior of simple objects. A number of serious and persistent difficulties with the concepts and principles used to analyze such behavior are identified. Although some of these difficulties are specific to the concept of the buoyant force, many others seem to reflect lingering confusion about concepts that are widely assumed to be understood by students before the study of hydrostatics begins. © 2003 American Association of Physics Teachers.","author":[{"dropping-particle":"","family":"Loverude","given":"Michael E.","non-dropping-particle":"","parse-names":false,"suffix":""},{"dropping-particle":"","family":"Kautz","given":"Christian H.","non-dropping-particle":"","parse-names":false,"suffix":""},{"dropping-particle":"","family":"Heron","given":"Paula R. L.","non-dropping-particle":"","parse-names":false,"suffix":""}],"container-title":"American Journal of Physics","id":"ITEM-3","issue":"11","issued":{"date-parts":[["2003"]]},"page":"1178-1187","title":"Helping students develop an understanding of Archimedes’ principle. I. Research on student understanding","type":"article-journal","volume":"71"},"uris":["http://www.mendeley.com/documents/?uuid=01b4ad59-f2d3-416e-94c5-a0bd8f3c8761"]}],"mendeley":{"formattedCitation":"[9]–[11]","manualFormatting":"[9–11]","plainTextFormattedCitation":"[9]–[11]","previouslyFormattedCitation":"[9]–[11]"},"properties":{"noteIndex":0},"schema":"https://github.com/citation-style-language/schema/raw/master/csl-citation.json"}</w:instrText>
      </w:r>
      <w:r w:rsidR="008F2C06">
        <w:fldChar w:fldCharType="separate"/>
      </w:r>
      <w:r w:rsidR="000C1330" w:rsidRPr="000C1330">
        <w:rPr>
          <w:noProof/>
        </w:rPr>
        <w:t>[9–11]</w:t>
      </w:r>
      <w:r w:rsidR="008F2C06">
        <w:fldChar w:fldCharType="end"/>
      </w:r>
      <w:r>
        <w:t xml:space="preserve">, </w:t>
      </w:r>
      <w:r>
        <w:rPr>
          <w:i/>
        </w:rPr>
        <w:t xml:space="preserve">(c) </w:t>
      </w:r>
      <w:r w:rsidR="004E1E70">
        <w:t xml:space="preserve">nell’individuare </w:t>
      </w:r>
      <w:r>
        <w:t xml:space="preserve">la spinta di Archimede </w:t>
      </w:r>
      <w:r w:rsidR="004E1E70">
        <w:t xml:space="preserve">come </w:t>
      </w:r>
      <w:r>
        <w:t>responsabile del fenomeno del galleggiamento</w:t>
      </w:r>
      <w:r w:rsidR="008F2C06">
        <w:t xml:space="preserve"> </w:t>
      </w:r>
      <w:r w:rsidR="008F2C06">
        <w:fldChar w:fldCharType="begin" w:fldLock="1"/>
      </w:r>
      <w:r w:rsidR="00F16DBD">
        <w:instrText>ADDIN CSL_CITATION {"citationItems":[{"id":"ITEM-1","itemData":{"DOI":"10.1119/1.3191688","ISSN":"0002-9505","abstract":"Many students have incorrect ideas about sinking and floating. Traditional instruction typically fails to address these ideas. Prior research-based interventions have required much time and/or good understanding of prerequisite concepts. This article describes an interactive lecture activity on buoyancy that has proven successful at addressing common conceptual difficulties with a smaller investment of time. © 2009, American Association of Physics Teachers. All rights reserved.","author":[{"dropping-particle":"","family":"Loverude","given":"M E","non-dropping-particle":"","parse-names":false,"suffix":""}],"container-title":"American Journal of Physics","id":"ITEM-1","issue":"10","issued":{"date-parts":[["2009"]]},"page":"897-901","title":"A research-based interactive lecture demonstration on sinking and floating","type":"article-journal","volume":"77"},"uris":["http://www.mendeley.com/documents/?uuid=473b9aca-295b-4da2-b152-f37922445272"]},{"id":"ITEM-2","itemData":{"DOI":"10.1119/1.3192767","ISSN":"0002-9505","abstract":"We describe an investigation of student learning of the concept of pressure in a static liquid. We document patterns of student answers and explanations in response to written and interview questions. We find that many undergraduate students fail to develop a correct understanding of pressure in this context. Many students have difficulty identifying the forces that act on a liquid and relating these forces to pressure. We describe the development and assessment of research-based instructional materials designed to address student difficulties with pressure and provide evidence that these materials can improve student understanding. © 2010 American Association of Physics Teachers.","author":[{"dropping-particle":"","family":"Loverude","given":"M. E.","non-dropping-particle":"","parse-names":false,"suffix":""},{"dropping-particle":"","family":"Heron","given":"P. R. L.","non-dropping-particle":"","parse-names":false,"suffix":""},{"dropping-particle":"","family":"Kautz","given":"C. H.","non-dropping-particle":"","parse-names":false,"suffix":""}],"container-title":"American Journal of Physics","id":"ITEM-2","issue":"1","issued":{"date-parts":[["2010"]]},"page":"75-85","title":"Identifying and addressing student difficulties with hydrostatic pressure","type":"article-journal","volume":"78"},"uris":["http://www.mendeley.com/documents/?uuid=a3d354c1-1255-453a-839d-8e766b60caaa"]},{"id":"ITEM-3","itemData":{"DOI":"10.1119/1.1607335","ISSN":"0002-9505","abstract":"This paper is the first of two that describe how research on student understanding of Archimedes' principle is being used to guide the development of instructional materials on this topic. Our results indicate that standard instruction on hydrostatics leaves many science and engineering majors unable to predict and explain the sinking and floating behavior of simple objects. A number of serious and persistent difficulties with the concepts and principles used to analyze such behavior are identified. Although some of these difficulties are specific to the concept of the buoyant force, many others seem to reflect lingering confusion about concepts that are widely assumed to be understood by students before the study of hydrostatics begins. © 2003 American Association of Physics Teachers.","author":[{"dropping-particle":"","family":"Loverude","given":"Michael E.","non-dropping-particle":"","parse-names":false,"suffix":""},{"dropping-particle":"","family":"Kautz","given":"Christian H.","non-dropping-particle":"","parse-names":false,"suffix":""},{"dropping-particle":"","family":"Heron","given":"Paula R. L.","non-dropping-particle":"","parse-names":false,"suffix":""}],"container-title":"American Journal of Physics","id":"ITEM-3","issue":"11","issued":{"date-parts":[["2003"]]},"page":"1178-1187","title":"Helping students develop an understanding of Archimedes’ principle. I. Research on student understanding","type":"article-journal","volume":"71"},"uris":["http://www.mendeley.com/documents/?uuid=01b4ad59-f2d3-416e-94c5-a0bd8f3c8761"]},{"id":"ITEM-4","itemData":{"DOI":"10.1119/1.1607337","ISSN":"0002-9505","abstract":"This paper is the second of two that describe how research on student understanding of Archimedes' principle is being used to guide the development of instructional materials to supplement instruction on this topic in typical introductory courses. The instructional materials that resulted have proven to be effective. Also discussed are instructional materials for special courses and workshops for K-8 teachers. Evidence is presented that, on some tasks, teachers who have worked through these materials perform much better than introductory physics students. © 2003 American Association of Physics Teachers.","author":[{"dropping-particle":"","family":"Heron","given":"Paula R L","non-dropping-particle":"","parse-names":false,"suffix":""},{"dropping-particle":"","family":"Loverude","given":"M E","non-dropping-particle":"","parse-names":false,"suffix":""},{"dropping-particle":"","family":"Shaffer","given":"P S","non-dropping-particle":"","parse-names":false,"suffix":""},{"dropping-particle":"","family":"McDermott","given":"L C","non-dropping-particle":"","parse-names":false,"suffix":""}],"container-title":"American Journal of Physics","id":"ITEM-4","issue":"11","issued":{"date-parts":[["2003"]]},"page":"1188-1195","title":"Helping students develop an understanding of Archimedes’ principle. II. Development of research-based instructional materials","type":"article-journal","volume":"71"},"uris":["http://www.mendeley.com/documents/?uuid=7dae00d7-a39f-476a-8e97-bbe04e630cd5"]}],"mendeley":{"formattedCitation":"[9]–[12]","plainTextFormattedCitation":"[9]–[12]","previouslyFormattedCitation":"[9]–[12]"},"properties":{"noteIndex":0},"schema":"https://github.com/citation-style-language/schema/raw/master/csl-citation.json"}</w:instrText>
      </w:r>
      <w:r w:rsidR="008F2C06">
        <w:fldChar w:fldCharType="separate"/>
      </w:r>
      <w:r w:rsidR="000C1330" w:rsidRPr="000C1330">
        <w:rPr>
          <w:noProof/>
        </w:rPr>
        <w:t>[9–12]</w:t>
      </w:r>
      <w:r w:rsidR="008F2C06">
        <w:fldChar w:fldCharType="end"/>
      </w:r>
      <w:r>
        <w:t xml:space="preserve"> e ancora </w:t>
      </w:r>
      <w:r>
        <w:rPr>
          <w:i/>
        </w:rPr>
        <w:t>(d)</w:t>
      </w:r>
      <w:r>
        <w:t xml:space="preserve"> </w:t>
      </w:r>
      <w:r>
        <w:rPr>
          <w:sz w:val="24"/>
          <w:szCs w:val="24"/>
        </w:rPr>
        <w:t>nel comprendere che  blocchi di ugual massa in liquidi diversi non sono soggetti alla stessa spinta</w:t>
      </w:r>
      <w:r w:rsidR="008F2C06">
        <w:rPr>
          <w:sz w:val="24"/>
          <w:szCs w:val="24"/>
        </w:rPr>
        <w:t xml:space="preserve"> </w:t>
      </w:r>
      <w:r w:rsidR="008F2C06">
        <w:fldChar w:fldCharType="begin" w:fldLock="1"/>
      </w:r>
      <w:r w:rsidR="00F16DBD">
        <w:instrText>ADDIN CSL_CITATION {"citationItems":[{"id":"ITEM-1","itemData":{"DOI":"10.1119/1.3191688","ISSN":"0002-9505","abstract":"Many students have incorrect ideas about sinking and floating. Traditional instruction typically fails to address these ideas. Prior research-based interventions have required much time and/or good understanding of prerequisite concepts. This article describes an interactive lecture activity on buoyancy that has proven successful at addressing common conceptual difficulties with a smaller investment of time. © 2009, American Association of Physics Teachers. All rights reserved.","author":[{"dropping-particle":"","family":"Loverude","given":"M E","non-dropping-particle":"","parse-names":false,"suffix":""}],"container-title":"American Journal of Physics","id":"ITEM-1","issue":"10","issued":{"date-parts":[["2009"]]},"page":"897-901","title":"A research-based interactive lecture demonstration on sinking and floating","type":"article-journal","volume":"77"},"uris":["http://www.mendeley.com/documents/?uuid=473b9aca-295b-4da2-b152-f37922445272"]},{"id":"ITEM-2","itemData":{"DOI":"10.1119/1.3192767","ISSN":"0002-9505","abstract":"We describe an investigation of student learning of the concept of pressure in a static liquid. We document patterns of student answers and explanations in response to written and interview questions. We find that many undergraduate students fail to develop a correct understanding of pressure in this context. Many students have difficulty identifying the forces that act on a liquid and relating these forces to pressure. We describe the development and assessment of research-based instructional materials designed to address student difficulties with pressure and provide evidence that these materials can improve student understanding. © 2010 American Association of Physics Teachers.","author":[{"dropping-particle":"","family":"Loverude","given":"M. E.","non-dropping-particle":"","parse-names":false,"suffix":""},{"dropping-particle":"","family":"Heron","given":"P. R. L.","non-dropping-particle":"","parse-names":false,"suffix":""},{"dropping-particle":"","family":"Kautz","given":"C. H.","non-dropping-particle":"","parse-names":false,"suffix":""}],"container-title":"American Journal of Physics","id":"ITEM-2","issue":"1","issued":{"date-parts":[["2010"]]},"page":"75-85","title":"Identifying and addressing student difficulties with hydrostatic pressure","type":"article-journal","volume":"78"},"uris":["http://www.mendeley.com/documents/?uuid=a3d354c1-1255-453a-839d-8e766b60caaa"]},{"id":"ITEM-3","itemData":{"DOI":"10.1119/1.1607335","ISSN":"0002-9505","abstract":"This paper is the first of two that describe how research on student understanding of Archimedes' principle is being used to guide the development of instructional materials on this topic. Our results indicate that standard instruction on hydrostatics leaves many science and engineering majors unable to predict and explain the sinking and floating behavior of simple objects. A number of serious and persistent difficulties with the concepts and principles used to analyze such behavior are identified. Although some of these difficulties are specific to the concept of the buoyant force, many others seem to reflect lingering confusion about concepts that are widely assumed to be understood by students before the study of hydrostatics begins. © 2003 American Association of Physics Teachers.","author":[{"dropping-particle":"","family":"Loverude","given":"Michael E.","non-dropping-particle":"","parse-names":false,"suffix":""},{"dropping-particle":"","family":"Kautz","given":"Christian H.","non-dropping-particle":"","parse-names":false,"suffix":""},{"dropping-particle":"","family":"Heron","given":"Paula R. L.","non-dropping-particle":"","parse-names":false,"suffix":""}],"container-title":"American Journal of Physics","id":"ITEM-3","issue":"11","issued":{"date-parts":[["2003"]]},"page":"1178-1187","title":"Helping students develop an understanding of Archimedes’ principle. I. Research on student understanding","type":"article-journal","volume":"71"},"uris":["http://www.mendeley.com/documents/?uuid=01b4ad59-f2d3-416e-94c5-a0bd8f3c8761"]},{"id":"ITEM-4","itemData":{"DOI":"10.1119/1.1607337","ISSN":"0002-9505","abstract":"This paper is the second of two that describe how research on student understanding of Archimedes' principle is being used to guide the development of instructional materials to supplement instruction on this topic in typical introductory courses. The instructional materials that resulted have proven to be effective. Also discussed are instructional materials for special courses and workshops for K-8 teachers. Evidence is presented that, on some tasks, teachers who have worked through these materials perform much better than introductory physics students. © 2003 American Association of Physics Teachers.","author":[{"dropping-particle":"","family":"Heron","given":"Paula R L","non-dropping-particle":"","parse-names":false,"suffix":""},{"dropping-particle":"","family":"Loverude","given":"M E","non-dropping-particle":"","parse-names":false,"suffix":""},{"dropping-particle":"","family":"Shaffer","given":"P S","non-dropping-particle":"","parse-names":false,"suffix":""},{"dropping-particle":"","family":"McDermott","given":"L C","non-dropping-particle":"","parse-names":false,"suffix":""}],"container-title":"American Journal of Physics","id":"ITEM-4","issue":"11","issued":{"date-parts":[["2003"]]},"page":"1188-1195","title":"Helping students develop an understanding of Archimedes’ principle. II. Development of research-based instructional materials","type":"article-journal","volume":"71"},"uris":["http://www.mendeley.com/documents/?uuid=7dae00d7-a39f-476a-8e97-bbe04e630cd5"]}],"mendeley":{"formattedCitation":"[9]–[12]","plainTextFormattedCitation":"[9]–[12]","previouslyFormattedCitation":"[9]–[12]"},"properties":{"noteIndex":0},"schema":"https://github.com/citation-style-language/schema/raw/master/csl-citation.json"}</w:instrText>
      </w:r>
      <w:r w:rsidR="008F2C06">
        <w:fldChar w:fldCharType="separate"/>
      </w:r>
      <w:r w:rsidR="000C1330" w:rsidRPr="000C1330">
        <w:rPr>
          <w:noProof/>
        </w:rPr>
        <w:t>[9–12]</w:t>
      </w:r>
      <w:r w:rsidR="008F2C06">
        <w:fldChar w:fldCharType="end"/>
      </w:r>
      <w:r>
        <w:t>. Un altro aspetto molto critico</w:t>
      </w:r>
      <w:r w:rsidR="004E1E70">
        <w:t xml:space="preserve"> nella comprensione dei fenomeni relativi ai fluidi risiede nella</w:t>
      </w:r>
      <w:r>
        <w:t xml:space="preserve"> difficoltà di</w:t>
      </w:r>
      <w:r w:rsidR="004E1E70">
        <w:t xml:space="preserve"> prendere in considerazione contemporaneamente più parametri e variabili significative:</w:t>
      </w:r>
      <w:r>
        <w:t xml:space="preserve"> </w:t>
      </w:r>
      <w:r w:rsidR="004E1E70">
        <w:t>a titolo di esempio, è comune il caso di soggetti che concentrano la loro attenzione solo sulla densità dell’oggetto immerso o, alternativamente, su quella del fluido, ma non sulla relazione tra esse</w:t>
      </w:r>
      <w:r w:rsidR="008F2C06">
        <w:t xml:space="preserve"> </w:t>
      </w:r>
      <w:r w:rsidR="008F2C06">
        <w:fldChar w:fldCharType="begin" w:fldLock="1"/>
      </w:r>
      <w:r w:rsidR="00F16DBD">
        <w:instrText>ADDIN CSL_CITATION {"citationItems":[{"id":"ITEM-1","itemData":{"DOI":"10.1119/1.3191688","ISSN":"0002-9505","abstract":"Many students have incorrect ideas about sinking and floating. Traditional instruction typically fails to address these ideas. Prior research-based interventions have required much time and/or good understanding of prerequisite concepts. This article describes an interactive lecture activity on buoyancy that has proven successful at addressing common conceptual difficulties with a smaller investment of time. © 2009, American Association of Physics Teachers. All rights reserved.","author":[{"dropping-particle":"","family":"Loverude","given":"M E","non-dropping-particle":"","parse-names":false,"suffix":""}],"container-title":"American Journal of Physics","id":"ITEM-1","issue":"10","issued":{"date-parts":[["2009"]]},"page":"897-901","title":"A research-based interactive lecture demonstration on sinking and floating","type":"article-journal","volume":"77"},"uris":["http://www.mendeley.com/documents/?uuid=473b9aca-295b-4da2-b152-f37922445272"]},{"id":"ITEM-2","itemData":{"DOI":"10.1119/1.3192767","ISSN":"0002-9505","abstract":"We describe an investigation of student learning of the concept of pressure in a static liquid. We document patterns of student answers and explanations in response to written and interview questions. We find that many undergraduate students fail to develop a correct understanding of pressure in this context. Many students have difficulty identifying the forces that act on a liquid and relating these forces to pressure. We describe the development and assessment of research-based instructional materials designed to address student difficulties with pressure and provide evidence that these materials can improve student understanding. © 2010 American Association of Physics Teachers.","author":[{"dropping-particle":"","family":"Loverude","given":"M. E.","non-dropping-particle":"","parse-names":false,"suffix":""},{"dropping-particle":"","family":"Heron","given":"P. R. L.","non-dropping-particle":"","parse-names":false,"suffix":""},{"dropping-particle":"","family":"Kautz","given":"C. H.","non-dropping-particle":"","parse-names":false,"suffix":""}],"container-title":"American Journal of Physics","id":"ITEM-2","issue":"1","issued":{"date-parts":[["2010"]]},"page":"75-85","title":"Identifying and addressing student difficulties with hydrostatic pressure","type":"article-journal","volume":"78"},"uris":["http://www.mendeley.com/documents/?uuid=a3d354c1-1255-453a-839d-8e766b60caaa"]},{"id":"ITEM-3","itemData":{"DOI":"10.1119/1.1607335","ISSN":"0002-9505","abstract":"This paper is the first of two that describe how research on student understanding of Archimedes' principle is being used to guide the development of instructional materials on this topic. Our results indicate that standard instruction on hydrostatics leaves many science and engineering majors unable to predict and explain the sinking and floating behavior of simple objects. A number of serious and persistent difficulties with the concepts and principles used to analyze such behavior are identified. Although some of these difficulties are specific to the concept of the buoyant force, many others seem to reflect lingering confusion about concepts that are widely assumed to be understood by students before the study of hydrostatics begins. © 2003 American Association of Physics Teachers.","author":[{"dropping-particle":"","family":"Loverude","given":"Michael E.","non-dropping-particle":"","parse-names":false,"suffix":""},{"dropping-particle":"","family":"Kautz","given":"Christian H.","non-dropping-particle":"","parse-names":false,"suffix":""},{"dropping-particle":"","family":"Heron","given":"Paula R. L.","non-dropping-particle":"","parse-names":false,"suffix":""}],"container-title":"American Journal of Physics","id":"ITEM-3","issue":"11","issued":{"date-parts":[["2003"]]},"page":"1178-1187","title":"Helping students develop an understanding of Archimedes’ principle. I. Research on student understanding","type":"article-journal","volume":"71"},"uris":["http://www.mendeley.com/documents/?uuid=01b4ad59-f2d3-416e-94c5-a0bd8f3c8761"]},{"id":"ITEM-4","itemData":{"DOI":"10.1119/1.1607337","ISSN":"0002-9505","abstract":"This paper is the second of two that describe how research on student understanding of Archimedes' principle is being used to guide the development of instructional materials to supplement instruction on this topic in typical introductory courses. The instructional materials that resulted have proven to be effective. Also discussed are instructional materials for special courses and workshops for K-8 teachers. Evidence is presented that, on some tasks, teachers who have worked through these materials perform much better than introductory physics students. © 2003 American Association of Physics Teachers.","author":[{"dropping-particle":"","family":"Heron","given":"Paula R L","non-dropping-particle":"","parse-names":false,"suffix":""},{"dropping-particle":"","family":"Loverude","given":"M E","non-dropping-particle":"","parse-names":false,"suffix":""},{"dropping-particle":"","family":"Shaffer","given":"P S","non-dropping-particle":"","parse-names":false,"suffix":""},{"dropping-particle":"","family":"McDermott","given":"L C","non-dropping-particle":"","parse-names":false,"suffix":""}],"container-title":"American Journal of Physics","id":"ITEM-4","issue":"11","issued":{"date-parts":[["2003"]]},"page":"1188-1195","title":"Helping students develop an understanding of Archimedes’ principle. II. Development of research-based instructional materials","type":"article-journal","volume":"71"},"uris":["http://www.mendeley.com/documents/?uuid=7dae00d7-a39f-476a-8e97-bbe04e630cd5"]},{"id":"ITEM-5","itemData":{"DOI":"10.1080/0950069042000243745","ISSN":"09500693","abstract":"This article describes a research study concerning students' conceptions and reasonings about fluids and pressure in static situations. After a preliminary survey involving interviews and observations in class, some written questions were answered by various groups, totalling 428 Italian and French pupils in upper secondary school, 458 first-year university students in Belgium and 58 teachers-in-training. After briefly illustrating some results from previous research on this topic, the article introduces the guidelines and objectives of the current research, describes and discusses its results, highlighting some categories of the more diffuse conceptions and tendencies of reasoning, and supplies a few suggestions for teaching. It is shown, among other things, that the notion of hydrostatic pressure is strongly connected to the idea of weight and associated with all the ambiguities that usually go with the latter. Moreover, a critical point appears to be the difficulty in connecting local actions and global effects, the need for systemic reasonings that are capable of producing the mechanism with which to establish a situation of equilibrium. © 2004 Taylor &amp; Francis Ltd.","author":[{"dropping-particle":"","family":"Besson","given":"Ugo","non-dropping-particle":"","parse-names":false,"suffix":""}],"container-title":"International Journal of Science Education","id":"ITEM-5","issue":"14","issued":{"date-parts":[["2004"]]},"page":"1683-1714","title":"Students' conceptions of fluids","type":"article-journal","volume":"26"},"uris":["http://www.mendeley.com/documents/?uuid=1c045b85-d473-49d7-a145-f76cf7d84887"]}],"mendeley":{"formattedCitation":"[9]–[13]","plainTextFormattedCitation":"[9]–[13]","previouslyFormattedCitation":"[9]–[13]"},"properties":{"noteIndex":0},"schema":"https://github.com/citation-style-language/schema/raw/master/csl-citation.json"}</w:instrText>
      </w:r>
      <w:r w:rsidR="008F2C06">
        <w:fldChar w:fldCharType="separate"/>
      </w:r>
      <w:r w:rsidR="000C1330" w:rsidRPr="000C1330">
        <w:rPr>
          <w:noProof/>
        </w:rPr>
        <w:t>[9–13]</w:t>
      </w:r>
      <w:r w:rsidR="008F2C06">
        <w:fldChar w:fldCharType="end"/>
      </w:r>
      <w:r>
        <w:t>.</w:t>
      </w:r>
    </w:p>
    <w:p w14:paraId="00000017" w14:textId="7A84998B" w:rsidR="006D1649" w:rsidRDefault="00563E52">
      <w:r>
        <w:t>Per quanto riguarda la legge di Stevin</w:t>
      </w:r>
      <w:r w:rsidR="00DE17D5">
        <w:t>o</w:t>
      </w:r>
      <w:r>
        <w:t xml:space="preserve">, due aspetti principali sono stati evidenziati dalla letteratura </w:t>
      </w:r>
      <w:r w:rsidR="004E1E70">
        <w:t>di ricerca</w:t>
      </w:r>
      <w:r>
        <w:t xml:space="preserve">: una prima difficoltà di apprendimento consiste </w:t>
      </w:r>
      <w:r w:rsidR="004E1E70">
        <w:t xml:space="preserve">nell’individuazione della </w:t>
      </w:r>
      <w:r>
        <w:t>causa della pressione idrostatica nel peso del liquido sovrastante</w:t>
      </w:r>
      <w:r w:rsidR="004E1E70">
        <w:t xml:space="preserve"> il punto preso in considerazione; peso</w:t>
      </w:r>
      <w:r>
        <w:t xml:space="preserve"> che agisce verticalmente dall’alto </w:t>
      </w:r>
      <w:r w:rsidR="004E1E70">
        <w:t xml:space="preserve">verso il </w:t>
      </w:r>
      <w:r>
        <w:t>basso</w:t>
      </w:r>
      <w:r w:rsidR="008F2C06">
        <w:t xml:space="preserve"> </w:t>
      </w:r>
      <w:r w:rsidR="000766CA">
        <w:fldChar w:fldCharType="begin" w:fldLock="1"/>
      </w:r>
      <w:r w:rsidR="00E2648E">
        <w:instrText>ADDIN CSL_CITATION {"citationItems":[{"id":"ITEM-1","itemData":{"DOI":"10.1080/0950069042000243745","ISSN":"09500693","abstract":"This article describes a research study concerning students' conceptions and reasonings about fluids and pressure in static situations. After a preliminary survey involving interviews and observations in class, some written questions were answered by various groups, totalling 428 Italian and French pupils in upper secondary school, 458 first-year university students in Belgium and 58 teachers-in-training. After briefly illustrating some results from previous research on this topic, the article introduces the guidelines and objectives of the current research, describes and discusses its results, highlighting some categories of the more diffuse conceptions and tendencies of reasoning, and supplies a few suggestions for teaching. It is shown, among other things, that the notion of hydrostatic pressure is strongly connected to the idea of weight and associated with all the ambiguities that usually go with the latter. Moreover, a critical point appears to be the difficulty in connecting local actions and global effects, the need for systemic reasonings that are capable of producing the mechanism with which to establish a situation of equilibrium. © 2004 Taylor &amp; Francis Ltd.","author":[{"dropping-particle":"","family":"Besson","given":"Ugo","non-dropping-particle":"","parse-names":false,"suffix":""}],"container-title":"International Journal of Science Education","id":"ITEM-1","issue":"14","issued":{"date-parts":[["2004"]]},"page":"1683-1714","title":"Students' conceptions of fluids","type":"article-journal","volume":"26"},"uris":["http://www.mendeley.com/documents/?uuid=1c045b85-d473-49d7-a145-f76cf7d84887"]},{"id":"ITEM-2","itemData":{"ISBN":"9780071843546","author":[{"dropping-particle":"","family":"Besson","given":"U","non-dropping-particle":"","parse-names":false,"suffix":""},{"dropping-particle":"","family":"Lega","given":"J","non-dropping-particle":"","parse-names":false,"suffix":""},{"dropping-particle":"","family":"Viennot","given":"L","non-dropping-particle":"","parse-names":false,"suffix":""}],"container-title":"In Physics Teacher Education Beyond 2000, International Conference of GIREP, Selected Contributions","editor":[{"dropping-particle":"","family":"Pinto","given":"R","non-dropping-particle":"","parse-names":false,"suffix":""}],"id":"ITEM-2","issued":{"date-parts":[["2000"]]},"publisher-place":"Paris","title":"Using anchoring conceptions for teaching statics of fluids","type":"paper-conference"},"uris":["http://www.mendeley.com/documents/?uuid=792c38d6-9f17-425a-b0de-363f9316554f"]}],"mendeley":{"formattedCitation":"[13], [14]","manualFormatting":"[13,14]","plainTextFormattedCitation":"[13], [14]","previouslyFormattedCitation":"[13], [14]"},"properties":{"noteIndex":0},"schema":"https://github.com/citation-style-language/schema/raw/master/csl-citation.json"}</w:instrText>
      </w:r>
      <w:r w:rsidR="000766CA">
        <w:fldChar w:fldCharType="separate"/>
      </w:r>
      <w:r w:rsidR="000C1330" w:rsidRPr="000C1330">
        <w:rPr>
          <w:noProof/>
        </w:rPr>
        <w:t>[13,14]</w:t>
      </w:r>
      <w:r w:rsidR="000766CA">
        <w:fldChar w:fldCharType="end"/>
      </w:r>
      <w:r w:rsidR="004E1E70">
        <w:t>.</w:t>
      </w:r>
      <w:r>
        <w:t xml:space="preserve"> </w:t>
      </w:r>
      <w:r w:rsidR="004E1E70">
        <w:t xml:space="preserve">Una </w:t>
      </w:r>
      <w:r>
        <w:t xml:space="preserve">seconda criticità, strettamente collegata alla prima, riguarda la </w:t>
      </w:r>
      <w:r w:rsidR="00DE17D5">
        <w:t xml:space="preserve">dipendenza della </w:t>
      </w:r>
      <w:r>
        <w:t xml:space="preserve">pressione dalla profondità </w:t>
      </w:r>
      <w:r w:rsidR="000766CA" w:rsidRPr="000766CA">
        <w:t xml:space="preserve"> </w:t>
      </w:r>
      <w:r w:rsidR="000766CA">
        <w:fldChar w:fldCharType="begin" w:fldLock="1"/>
      </w:r>
      <w:r w:rsidR="00F16DBD">
        <w:instrText>ADDIN CSL_CITATION {"citationItems":[{"id":"ITEM-1","itemData":{"DOI":"10.1080/0950069042000243745","ISSN":"09500693","abstract":"This article describes a research study concerning students' conceptions and reasonings about fluids and pressure in static situations. After a preliminary survey involving interviews and observations in class, some written questions were answered by various groups, totalling 428 Italian and French pupils in upper secondary school, 458 first-year university students in Belgium and 58 teachers-in-training. After briefly illustrating some results from previous research on this topic, the article introduces the guidelines and objectives of the current research, describes and discusses its results, highlighting some categories of the more diffuse conceptions and tendencies of reasoning, and supplies a few suggestions for teaching. It is shown, among other things, that the notion of hydrostatic pressure is strongly connected to the idea of weight and associated with all the ambiguities that usually go with the latter. Moreover, a critical point appears to be the difficulty in connecting local actions and global effects, the need for systemic reasonings that are capable of producing the mechanism with which to establish a situation of equilibrium. © 2004 Taylor &amp; Francis Ltd.","author":[{"dropping-particle":"","family":"Besson","given":"Ugo","non-dropping-particle":"","parse-names":false,"suffix":""}],"container-title":"International Journal of Science Education","id":"ITEM-1","issue":"14","issued":{"date-parts":[["2004"]]},"page":"1683-1714","title":"Students' conceptions of fluids","type":"article-journal","volume":"26"},"uris":["http://www.mendeley.com/documents/?uuid=1c045b85-d473-49d7-a145-f76cf7d84887"]},{"id":"ITEM-2","itemData":{"ISBN":"9780071843546","author":[{"dropping-particle":"","family":"Besson","given":"U","non-dropping-particle":"","parse-names":false,"suffix":""},{"dropping-particle":"","family":"Lega","given":"J","non-dropping-particle":"","parse-names":false,"suffix":""},{"dropping-particle":"","family":"Viennot","given":"L","non-dropping-particle":"","parse-names":false,"suffix":""}],"container-title":"In Physics Teacher Education Beyond 2000, International Conference of GIREP, Selected Contributions","editor":[{"dropping-particle":"","family":"Pinto","given":"R","non-dropping-particle":"","parse-names":false,"suffix":""}],"id":"ITEM-2","issued":{"date-parts":[["2000"]]},"publisher-place":"Paris","title":"Using anchoring conceptions for teaching statics of fluids","type":"paper-conference"},"uris":["http://www.mendeley.com/documents/?uuid=792c38d6-9f17-425a-b0de-363f9316554f"]}],"mendeley":{"formattedCitation":"[13], [14]","plainTextFormattedCitation":"[13], [14]","previouslyFormattedCitation":"[13], [14]"},"properties":{"noteIndex":0},"schema":"https://github.com/citation-style-language/schema/raw/master/csl-citation.json"}</w:instrText>
      </w:r>
      <w:r w:rsidR="000766CA">
        <w:fldChar w:fldCharType="separate"/>
      </w:r>
      <w:r w:rsidR="000C1330" w:rsidRPr="000C1330">
        <w:rPr>
          <w:noProof/>
        </w:rPr>
        <w:t>[13,14]</w:t>
      </w:r>
      <w:r w:rsidR="000766CA">
        <w:fldChar w:fldCharType="end"/>
      </w:r>
      <w:r>
        <w:t>.</w:t>
      </w:r>
      <w:bookmarkStart w:id="1" w:name="_heading=h.gjdgxs" w:colFirst="0" w:colLast="0"/>
      <w:bookmarkEnd w:id="1"/>
      <w:r w:rsidR="00DE17D5">
        <w:t xml:space="preserve"> </w:t>
      </w:r>
      <w:r>
        <w:t>Un altro importante nodo concettuale riguarda la legge di Pascal</w:t>
      </w:r>
      <w:r w:rsidR="004E1E70">
        <w:t xml:space="preserve">, sia per ciò che concerne il riconoscimento del fatto che a trasmettersi uniformemente sono le </w:t>
      </w:r>
      <w:r w:rsidR="004E1E70" w:rsidRPr="00006800">
        <w:rPr>
          <w:i/>
        </w:rPr>
        <w:t>variazioni</w:t>
      </w:r>
      <w:r w:rsidR="004E1E70">
        <w:t xml:space="preserve"> di pressione,</w:t>
      </w:r>
      <w:r>
        <w:t xml:space="preserve"> </w:t>
      </w:r>
      <w:r w:rsidR="004E1E70">
        <w:t>sia per quanto riguarda</w:t>
      </w:r>
      <w:r>
        <w:t xml:space="preserve"> l’idea spontanea</w:t>
      </w:r>
      <w:r w:rsidR="004E1E70">
        <w:t>, sovente  manifestata</w:t>
      </w:r>
      <w:r>
        <w:t xml:space="preserve"> dagli studenti secondo cui le variazioni di pressione </w:t>
      </w:r>
      <w:r w:rsidR="004E1E70">
        <w:t xml:space="preserve">si trasmettono </w:t>
      </w:r>
      <w:r>
        <w:t>esclusivamente nella direzione verticale</w:t>
      </w:r>
      <w:r w:rsidR="000766CA">
        <w:t xml:space="preserve"> </w:t>
      </w:r>
      <w:r w:rsidR="000766CA">
        <w:fldChar w:fldCharType="begin" w:fldLock="1"/>
      </w:r>
      <w:r w:rsidR="00F16DBD">
        <w:instrText>ADDIN CSL_CITATION {"citationItems":[{"id":"ITEM-1","itemData":{"DOI":"10.1063/1.4789675","ISBN":"9780735411340","ISSN":"15517616","abstract":"Our research group is developing a standardized fluids assessment, covering buoyancy and pressure. Much of the prior research of student difficulties with pressure involves young children. Many of the questions on the beta-version of the assessment used this past year were designed to test the prevalence of those difficulties in college students. In this paper we will describe several pressure-related assessment questions, the misconceptions they probe, and the preliminary results from the beta version of the assessment.","author":[{"dropping-particle":"","family":"Goszewski","given":"Matthew","non-dropping-particle":"","parse-names":false,"suffix":""},{"dropping-particle":"","family":"Moyer","given":"Adam","non-dropping-particle":"","parse-names":false,"suffix":""},{"dropping-particle":"","family":"Bazan","given":"Zachary","non-dropping-particle":"","parse-names":false,"suffix":""},{"dropping-particle":"","family":"Wagner","given":"D. J.","non-dropping-particle":"","parse-names":false,"suffix":""}],"container-title":"AIP Conference Proceedings","id":"ITEM-1","issue":"January 2013","issued":{"date-parts":[["2013"]]},"page":"154-157","title":"Exploring student difficulties with pressure in a fluid","type":"article-journal","volume":"1513"},"uris":["http://www.mendeley.com/documents/?uuid=ac62fa9a-1df1-4c15-8568-da5b62bc4709"]}],"mendeley":{"formattedCitation":"[15]","plainTextFormattedCitation":"[15]","previouslyFormattedCitation":"[15]"},"properties":{"noteIndex":0},"schema":"https://github.com/citation-style-language/schema/raw/master/csl-citation.json"}</w:instrText>
      </w:r>
      <w:r w:rsidR="000766CA">
        <w:fldChar w:fldCharType="separate"/>
      </w:r>
      <w:r w:rsidR="000C1330" w:rsidRPr="000C1330">
        <w:rPr>
          <w:noProof/>
        </w:rPr>
        <w:t>[15]</w:t>
      </w:r>
      <w:r w:rsidR="000766CA">
        <w:fldChar w:fldCharType="end"/>
      </w:r>
      <w:r>
        <w:t xml:space="preserve">. </w:t>
      </w:r>
    </w:p>
    <w:p w14:paraId="68BA5102" w14:textId="77777777" w:rsidR="00395CDE" w:rsidRPr="00F16DBD" w:rsidRDefault="00985377" w:rsidP="00395CDE">
      <w:pPr>
        <w:rPr>
          <w:color w:val="000000" w:themeColor="text1"/>
        </w:rPr>
      </w:pPr>
      <w:r>
        <w:t>La precedente breve rassegna sulle problematiche di apprendimento di statica dei fluidi è frutto dell’attività di documentazione svolta congiuntamente da un gruppo di docenti della scuola e dell’università, in vista della progettazione condivisa del percorso di apprendimento cui abbiamo accennato nell’introduzione. Sebbene nella pratica sia stato necessario rimodulare l’intervento previsto, a causa della sopravvenuta crisi pandemica, riteniamo utile condividere comunque con le lettrici e i lettori del GdF la struttura generale del percorso, in quanto fornisce a nostro avviso un esempio di formazione sul campo per i docenti della scuola secondaria</w:t>
      </w:r>
      <w:r w:rsidR="00395CDE">
        <w:t>.</w:t>
      </w:r>
      <w:r>
        <w:t xml:space="preserve"> </w:t>
      </w:r>
      <w:r w:rsidR="00395CDE" w:rsidRPr="00F16DBD">
        <w:rPr>
          <w:color w:val="000000" w:themeColor="text1"/>
        </w:rPr>
        <w:t>All’attività hanno partecipato docenti della scuola secondaria afferenti a diverse aree scientifiche (fisica, scienze naturali, biologia), nell’ambito di una intersezione interdisciplinare tra diversi PLS, realizzata localmente.</w:t>
      </w:r>
    </w:p>
    <w:p w14:paraId="4EC2AB18" w14:textId="5477C92F" w:rsidR="00395CDE" w:rsidRPr="00F16DBD" w:rsidRDefault="00395CDE" w:rsidP="00395CDE">
      <w:pPr>
        <w:contextualSpacing/>
        <w:rPr>
          <w:color w:val="000000" w:themeColor="text1"/>
        </w:rPr>
      </w:pPr>
      <w:r w:rsidRPr="00F16DBD">
        <w:rPr>
          <w:color w:val="000000" w:themeColor="text1"/>
        </w:rPr>
        <w:t xml:space="preserve">Il progetto integrale, solo parzialmente realizzato per i motivi citati, è basato sulla sinergia tra un’attività didattica universitaria (l’insegnamento di Fisica per Biologi del CdS in Scienze e Tecnologie Biologiche di </w:t>
      </w:r>
      <w:r w:rsidR="00F861FC">
        <w:rPr>
          <w:color w:val="000000" w:themeColor="text1"/>
        </w:rPr>
        <w:lastRenderedPageBreak/>
        <w:t>dell’Università della Calabria</w:t>
      </w:r>
      <w:r w:rsidRPr="00F16DBD">
        <w:rPr>
          <w:color w:val="000000" w:themeColor="text1"/>
        </w:rPr>
        <w:t>) e un Percorso per le Competenze Trasversali e l’Orientamento (PCTO) di alcune scuole secondarie</w:t>
      </w:r>
      <w:r w:rsidRPr="00611E14">
        <w:rPr>
          <w:rStyle w:val="Rimandonotaapidipagina"/>
        </w:rPr>
        <w:footnoteReference w:id="1"/>
      </w:r>
      <w:r w:rsidRPr="00F16DBD">
        <w:rPr>
          <w:color w:val="000000" w:themeColor="text1"/>
        </w:rPr>
        <w:t>. Le fasi sono le seguenti (Figura 1):</w:t>
      </w:r>
    </w:p>
    <w:p w14:paraId="1D2A8ABE" w14:textId="423AAAAD" w:rsidR="00395CDE" w:rsidRPr="00F16DBD" w:rsidRDefault="00395CDE" w:rsidP="000D057F">
      <w:pPr>
        <w:pStyle w:val="Paragrafoelenco"/>
        <w:numPr>
          <w:ilvl w:val="0"/>
          <w:numId w:val="1"/>
        </w:numPr>
        <w:spacing w:before="120"/>
        <w:ind w:left="1077"/>
        <w:rPr>
          <w:b w:val="0"/>
          <w:color w:val="000000" w:themeColor="text1"/>
          <w:sz w:val="22"/>
        </w:rPr>
      </w:pPr>
      <w:r w:rsidRPr="00F16DBD">
        <w:rPr>
          <w:b w:val="0"/>
          <w:color w:val="000000" w:themeColor="text1"/>
          <w:sz w:val="22"/>
        </w:rPr>
        <w:t xml:space="preserve">Alla classe universitaria viene proposto il tema della statica dei fluidi, in modalità </w:t>
      </w:r>
      <w:r w:rsidRPr="00E2648E">
        <w:rPr>
          <w:b w:val="0"/>
          <w:i/>
          <w:iCs/>
          <w:color w:val="000000" w:themeColor="text1"/>
          <w:sz w:val="22"/>
        </w:rPr>
        <w:t>flipped classroom</w:t>
      </w:r>
      <w:r w:rsidRPr="00F16DBD">
        <w:rPr>
          <w:b w:val="0"/>
          <w:color w:val="000000" w:themeColor="text1"/>
          <w:sz w:val="22"/>
        </w:rPr>
        <w:t>, mediante la conduzione diretta di due esperimenti basati su modelli semplificati dell’idrostatica/dinamica dell’occhio, descritti nella sezione 4</w:t>
      </w:r>
      <w:r w:rsidR="00F16DBD" w:rsidRPr="00F16DBD">
        <w:rPr>
          <w:b w:val="0"/>
          <w:color w:val="000000" w:themeColor="text1"/>
          <w:sz w:val="22"/>
        </w:rPr>
        <w:t xml:space="preserve"> </w:t>
      </w:r>
      <w:r w:rsidR="00F16DBD" w:rsidRPr="00F16DBD">
        <w:rPr>
          <w:b w:val="0"/>
          <w:color w:val="000000" w:themeColor="text1"/>
          <w:sz w:val="22"/>
        </w:rPr>
        <w:fldChar w:fldCharType="begin" w:fldLock="1"/>
      </w:r>
      <w:r w:rsidR="00F16DBD">
        <w:rPr>
          <w:b w:val="0"/>
          <w:color w:val="000000" w:themeColor="text1"/>
          <w:sz w:val="22"/>
        </w:rPr>
        <w:instrText>ADDIN CSL_CITATION {"citationItems":[{"id":"ITEM-1","itemData":{"author":[{"dropping-particle":"","family":"Madeo","given":"L","non-dropping-particle":"","parse-names":false,"suffix":""}],"id":"ITEM-1","issued":{"date-parts":[["2020"]]},"publisher":"Università della Calabria","title":"Percorso innovativo di laboratorio reale/virtuale per l'apprendimento della statica dei fluidi","type":"thesis"},"uris":["http://www.mendeley.com/documents/?uuid=fdd9d9a4-4d0f-49cc-a3d7-9f249a551c5b"]}],"mendeley":{"formattedCitation":"[4]","plainTextFormattedCitation":"[4]","previouslyFormattedCitation":"[4]"},"properties":{"noteIndex":0},"schema":"https://github.com/citation-style-language/schema/raw/master/csl-citation.json"}</w:instrText>
      </w:r>
      <w:r w:rsidR="00F16DBD" w:rsidRPr="00F16DBD">
        <w:rPr>
          <w:b w:val="0"/>
          <w:color w:val="000000" w:themeColor="text1"/>
          <w:sz w:val="22"/>
        </w:rPr>
        <w:fldChar w:fldCharType="separate"/>
      </w:r>
      <w:r w:rsidR="00F16DBD" w:rsidRPr="00F16DBD">
        <w:rPr>
          <w:b w:val="0"/>
          <w:noProof/>
          <w:color w:val="000000" w:themeColor="text1"/>
          <w:sz w:val="22"/>
        </w:rPr>
        <w:t>[4]</w:t>
      </w:r>
      <w:r w:rsidR="00F16DBD" w:rsidRPr="00F16DBD">
        <w:rPr>
          <w:b w:val="0"/>
          <w:color w:val="000000" w:themeColor="text1"/>
          <w:sz w:val="22"/>
        </w:rPr>
        <w:fldChar w:fldCharType="end"/>
      </w:r>
      <w:r w:rsidRPr="00F16DBD">
        <w:rPr>
          <w:b w:val="0"/>
          <w:color w:val="000000" w:themeColor="text1"/>
          <w:sz w:val="22"/>
        </w:rPr>
        <w:t>. Il percorso di apprendimento della classe universitaria è stato innescato da un workshop sulla problematica medica del glaucoma (animato presso l’università da un team di oculisti) al quale hanno preso parte anche i docenti delle scuole secondarie partecipanti al progetto in qualità di tutor e /o di docenti interni del percorso PCTO.</w:t>
      </w:r>
    </w:p>
    <w:p w14:paraId="04195865" w14:textId="1322B90B" w:rsidR="00395CDE" w:rsidRDefault="00395CDE" w:rsidP="00395CDE">
      <w:pPr>
        <w:pStyle w:val="Paragrafoelenco"/>
        <w:numPr>
          <w:ilvl w:val="0"/>
          <w:numId w:val="1"/>
        </w:numPr>
        <w:rPr>
          <w:b w:val="0"/>
          <w:color w:val="000000" w:themeColor="text1"/>
          <w:sz w:val="22"/>
        </w:rPr>
      </w:pPr>
      <w:r w:rsidRPr="00F16DBD">
        <w:rPr>
          <w:b w:val="0"/>
          <w:color w:val="000000" w:themeColor="text1"/>
          <w:sz w:val="22"/>
        </w:rPr>
        <w:t xml:space="preserve">Il gruppo PCTO delle scuole svolge presso l’università un’attività di approfondimento sulla statica dei fluidi, condotto dai docenti delle scuole, al quale prendono parte in qualità di </w:t>
      </w:r>
      <w:r w:rsidRPr="00E2648E">
        <w:rPr>
          <w:b w:val="0"/>
          <w:i/>
          <w:iCs/>
          <w:color w:val="000000" w:themeColor="text1"/>
          <w:sz w:val="22"/>
        </w:rPr>
        <w:t>peer-tutor</w:t>
      </w:r>
      <w:r w:rsidRPr="00F16DBD">
        <w:rPr>
          <w:b w:val="0"/>
          <w:color w:val="000000" w:themeColor="text1"/>
          <w:sz w:val="22"/>
        </w:rPr>
        <w:t xml:space="preserve"> alcuni studenti e studentesse della classe universitaria, aderenti su base volontaria.</w:t>
      </w:r>
    </w:p>
    <w:p w14:paraId="3621899A" w14:textId="69747805" w:rsidR="000D057F" w:rsidRPr="000D057F" w:rsidRDefault="000D057F" w:rsidP="000D057F">
      <w:pPr>
        <w:rPr>
          <w:color w:val="000000" w:themeColor="text1"/>
        </w:rPr>
      </w:pPr>
      <w:r w:rsidRPr="00F16DBD">
        <w:rPr>
          <w:color w:val="000000" w:themeColor="text1"/>
        </w:rPr>
        <w:t xml:space="preserve">A monte di tali fasi c’è stata l’attività di progettazione congiunta scuola/università/oculisti, che ha portato anche alla realizzazione di questionari per la valutazione degli apprendimenti, sviluppati dai docenti della scuola anche mediante rielaborazione di questionari validati in letteratura </w:t>
      </w:r>
      <w:r w:rsidRPr="00F16DBD">
        <w:rPr>
          <w:color w:val="000000" w:themeColor="text1"/>
        </w:rPr>
        <w:fldChar w:fldCharType="begin" w:fldLock="1"/>
      </w:r>
      <w:r>
        <w:rPr>
          <w:color w:val="000000" w:themeColor="text1"/>
        </w:rPr>
        <w:instrText>ADDIN CSL_CITATION {"citationItems":[{"id":"ITEM-1","itemData":{"DOI":"10.1080/0950069042000243745","ISSN":"09500693","abstract":"This article describes a research study concerning students' conceptions and reasonings about fluids and pressure in static situations. After a preliminary survey involving interviews and observations in class, some written questions were answered by various groups, totalling 428 Italian and French pupils in upper secondary school, 458 first-year university students in Belgium and 58 teachers-in-training. After briefly illustrating some results from previous research on this topic, the article introduces the guidelines and objectives of the current research, describes and discusses its results, highlighting some categories of the more diffuse conceptions and tendencies of reasoning, and supplies a few suggestions for teaching. It is shown, among other things, that the notion of hydrostatic pressure is strongly connected to the idea of weight and associated with all the ambiguities that usually go with the latter. Moreover, a critical point appears to be the difficulty in connecting local actions and global effects, the need for systemic reasonings that are capable of producing the mechanism with which to establish a situation of equilibrium. © 2004 Taylor &amp; Francis Ltd.","author":[{"dropping-particle":"","family":"Besson","given":"Ugo","non-dropping-particle":"","parse-names":false,"suffix":""}],"container-title":"International Journal of Science Education","id":"ITEM-1","issue":"14","issued":{"date-parts":[["2004"]]},"page":"1683-1714","title":"Students' conceptions of fluids","type":"article-journal","volume":"26"},"uris":["http://www.mendeley.com/documents/?uuid=1c045b85-d473-49d7-a145-f76cf7d84887"]},{"id":"ITEM-2","itemData":{"DOI":"10.1063/1.4789675","ISBN":"9780735411340","ISSN":"15517616","abstract":"Our research group is developing a standardized fluids assessment, covering buoyancy and pressure. Much of the prior research of student difficulties with pressure involves young children. Many of the questions on the beta-version of the assessment used this past year were designed to test the prevalence of those difficulties in college students. In this paper we will describe several pressure-related assessment questions, the misconceptions they probe, and the preliminary results from the beta version of the assessment.","author":[{"dropping-particle":"","family":"Goszewski","given":"Matthew","non-dropping-particle":"","parse-names":false,"suffix":""},{"dropping-particle":"","family":"Moyer","given":"Adam","non-dropping-particle":"","parse-names":false,"suffix":""},{"dropping-particle":"","family":"Bazan","given":"Zachary","non-dropping-particle":"","parse-names":false,"suffix":""},{"dropping-particle":"","family":"Wagner","given":"D. J.","non-dropping-particle":"","parse-names":false,"suffix":""}],"container-title":"AIP Conference Proceedings","id":"ITEM-2","issue":"January 2013","issued":{"date-parts":[["2013"]]},"page":"154-157","title":"Exploring student difficulties with pressure in a fluid","type":"article-journal","volume":"1513"},"uris":["http://www.mendeley.com/documents/?uuid=ac62fa9a-1df1-4c15-8568-da5b62bc4709"]}],"mendeley":{"formattedCitation":"[13], [15]","manualFormatting":"[13,15]","plainTextFormattedCitation":"[13], [15]"},"properties":{"noteIndex":0},"schema":"https://github.com/citation-style-language/schema/raw/master/csl-citation.json"}</w:instrText>
      </w:r>
      <w:r w:rsidRPr="00F16DBD">
        <w:rPr>
          <w:color w:val="000000" w:themeColor="text1"/>
        </w:rPr>
        <w:fldChar w:fldCharType="separate"/>
      </w:r>
      <w:r w:rsidRPr="00F16DBD">
        <w:rPr>
          <w:noProof/>
          <w:color w:val="000000" w:themeColor="text1"/>
        </w:rPr>
        <w:t>[13,15]</w:t>
      </w:r>
      <w:r w:rsidRPr="00F16DBD">
        <w:rPr>
          <w:color w:val="000000" w:themeColor="text1"/>
        </w:rPr>
        <w:fldChar w:fldCharType="end"/>
      </w:r>
      <w:r w:rsidRPr="00F16DBD">
        <w:rPr>
          <w:color w:val="000000" w:themeColor="text1"/>
        </w:rPr>
        <w:t>. Esempi dei quesiti sviluppati sono riportati nelle Figure 2.a e 2.b.</w:t>
      </w:r>
    </w:p>
    <w:p w14:paraId="59E195A5" w14:textId="77777777" w:rsidR="00395CDE" w:rsidRDefault="00395CDE" w:rsidP="00395CDE">
      <w:pPr>
        <w:keepNext/>
        <w:jc w:val="center"/>
        <w:rPr>
          <w:color w:val="000000"/>
        </w:rPr>
      </w:pPr>
      <w:r>
        <w:rPr>
          <w:noProof/>
          <w:color w:val="000000"/>
        </w:rPr>
        <w:lastRenderedPageBreak/>
        <w:drawing>
          <wp:inline distT="0" distB="0" distL="0" distR="0" wp14:anchorId="56BECBED" wp14:editId="0574FD9F">
            <wp:extent cx="4320000" cy="5873166"/>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320000" cy="5873166"/>
                    </a:xfrm>
                    <a:prstGeom prst="rect">
                      <a:avLst/>
                    </a:prstGeom>
                    <a:ln/>
                  </pic:spPr>
                </pic:pic>
              </a:graphicData>
            </a:graphic>
          </wp:inline>
        </w:drawing>
      </w:r>
    </w:p>
    <w:p w14:paraId="3E36C8B6" w14:textId="5272DB0B" w:rsidR="00395CDE" w:rsidRDefault="00395CDE" w:rsidP="00395CDE">
      <w:pPr>
        <w:pBdr>
          <w:top w:val="nil"/>
          <w:left w:val="nil"/>
          <w:bottom w:val="nil"/>
          <w:right w:val="nil"/>
          <w:between w:val="nil"/>
        </w:pBdr>
        <w:spacing w:after="360" w:line="240" w:lineRule="auto"/>
        <w:jc w:val="center"/>
        <w:rPr>
          <w:rFonts w:eastAsia="Times New Roman"/>
          <w:color w:val="000000"/>
          <w:sz w:val="18"/>
          <w:szCs w:val="18"/>
        </w:rPr>
      </w:pPr>
      <w:bookmarkStart w:id="2" w:name="_heading=h.30j0zll" w:colFirst="0" w:colLast="0"/>
      <w:bookmarkEnd w:id="2"/>
      <w:r>
        <w:rPr>
          <w:rFonts w:eastAsia="Times New Roman"/>
          <w:color w:val="000000"/>
          <w:sz w:val="18"/>
          <w:szCs w:val="18"/>
        </w:rPr>
        <w:t xml:space="preserve">Fig. 1: </w:t>
      </w:r>
      <w:r w:rsidRPr="00395CDE">
        <w:rPr>
          <w:rFonts w:eastAsia="Times New Roman"/>
          <w:color w:val="000000"/>
          <w:sz w:val="18"/>
          <w:szCs w:val="18"/>
        </w:rPr>
        <w:t xml:space="preserve">Struttura del percorso di apprendimento completo, con in evidenza i ruoli svolti dai diversi attori (descritti nella legenda in basso nella figura). Si osservi in particolare la funzione di </w:t>
      </w:r>
      <w:r w:rsidRPr="00395CDE">
        <w:rPr>
          <w:rFonts w:eastAsia="Times New Roman"/>
          <w:i/>
          <w:iCs/>
          <w:color w:val="000000"/>
          <w:sz w:val="18"/>
          <w:szCs w:val="18"/>
        </w:rPr>
        <w:t>peer tutoring</w:t>
      </w:r>
      <w:r w:rsidRPr="00395CDE">
        <w:rPr>
          <w:rFonts w:eastAsia="Times New Roman"/>
          <w:color w:val="000000"/>
          <w:sz w:val="18"/>
          <w:szCs w:val="18"/>
        </w:rPr>
        <w:t xml:space="preserve"> che gli studenti universitari (frequentanti il corso di Fisica per Biologi) svolgono nei confronti degli alunni della scuola secondaria.</w:t>
      </w:r>
    </w:p>
    <w:p w14:paraId="06D14102" w14:textId="593CD2DB" w:rsidR="00395CDE" w:rsidRDefault="00395CDE" w:rsidP="00395CDE">
      <w:pPr>
        <w:rPr>
          <w:color w:val="000000" w:themeColor="text1"/>
        </w:rPr>
      </w:pPr>
    </w:p>
    <w:p w14:paraId="0D71FC12" w14:textId="68DFF037" w:rsidR="000D057F" w:rsidRDefault="000D057F" w:rsidP="00395CDE">
      <w:pPr>
        <w:rPr>
          <w:color w:val="000000" w:themeColor="text1"/>
        </w:rPr>
      </w:pPr>
    </w:p>
    <w:p w14:paraId="720F583A" w14:textId="77777777" w:rsidR="000D057F" w:rsidRPr="00F16DBD" w:rsidRDefault="000D057F" w:rsidP="00395CDE">
      <w:pPr>
        <w:rPr>
          <w:color w:val="000000" w:themeColor="text1"/>
        </w:rPr>
      </w:pPr>
    </w:p>
    <w:p w14:paraId="2D156691" w14:textId="77777777" w:rsidR="00395CDE" w:rsidRDefault="00395CDE" w:rsidP="00395CDE">
      <w:pPr>
        <w:keepNext/>
        <w:jc w:val="center"/>
        <w:rPr>
          <w:color w:val="000000"/>
        </w:rPr>
      </w:pPr>
      <w:r>
        <w:rPr>
          <w:noProof/>
          <w:color w:val="000000"/>
        </w:rPr>
        <w:lastRenderedPageBreak/>
        <w:drawing>
          <wp:inline distT="0" distB="0" distL="0" distR="0" wp14:anchorId="61F7B3D3" wp14:editId="2DFEAF83">
            <wp:extent cx="5400000" cy="7120161"/>
            <wp:effectExtent l="0" t="0" r="0" b="508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400000" cy="7120161"/>
                    </a:xfrm>
                    <a:prstGeom prst="rect">
                      <a:avLst/>
                    </a:prstGeom>
                    <a:ln/>
                  </pic:spPr>
                </pic:pic>
              </a:graphicData>
            </a:graphic>
          </wp:inline>
        </w:drawing>
      </w:r>
    </w:p>
    <w:p w14:paraId="290C8FDC" w14:textId="05B55B0E" w:rsidR="00395CDE" w:rsidRDefault="00395CDE" w:rsidP="00395CDE">
      <w:pPr>
        <w:pBdr>
          <w:top w:val="nil"/>
          <w:left w:val="nil"/>
          <w:bottom w:val="nil"/>
          <w:right w:val="nil"/>
          <w:between w:val="nil"/>
        </w:pBdr>
        <w:spacing w:after="360" w:line="240" w:lineRule="auto"/>
        <w:jc w:val="center"/>
        <w:rPr>
          <w:rFonts w:eastAsia="Times New Roman"/>
          <w:color w:val="000000"/>
          <w:sz w:val="18"/>
          <w:szCs w:val="18"/>
        </w:rPr>
      </w:pPr>
      <w:r>
        <w:rPr>
          <w:rFonts w:eastAsia="Times New Roman"/>
          <w:color w:val="000000"/>
          <w:sz w:val="18"/>
          <w:szCs w:val="18"/>
        </w:rPr>
        <w:t xml:space="preserve">Fig. 2a: </w:t>
      </w:r>
      <w:r w:rsidRPr="00395CDE">
        <w:rPr>
          <w:rFonts w:eastAsia="Times New Roman"/>
          <w:color w:val="000000"/>
          <w:sz w:val="18"/>
          <w:szCs w:val="18"/>
        </w:rPr>
        <w:t>Esempi di questionari per la valutazione degli apprendimenti sviluppati dai docenti della scuola, anche mediante rielaborazione di quesiti disponibili in letteratura.</w:t>
      </w:r>
    </w:p>
    <w:p w14:paraId="20C53435" w14:textId="77777777" w:rsidR="00BF2ECB" w:rsidRDefault="00BF2ECB" w:rsidP="00BF2ECB">
      <w:pPr>
        <w:keepNext/>
        <w:jc w:val="center"/>
        <w:rPr>
          <w:color w:val="000000"/>
        </w:rPr>
      </w:pPr>
      <w:r>
        <w:rPr>
          <w:noProof/>
          <w:color w:val="000000"/>
        </w:rPr>
        <w:lastRenderedPageBreak/>
        <w:drawing>
          <wp:inline distT="0" distB="0" distL="0" distR="0" wp14:anchorId="2137343A" wp14:editId="3FD07C52">
            <wp:extent cx="5268280" cy="7120161"/>
            <wp:effectExtent l="0" t="0" r="2540" b="508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268280" cy="7120161"/>
                    </a:xfrm>
                    <a:prstGeom prst="rect">
                      <a:avLst/>
                    </a:prstGeom>
                    <a:ln/>
                  </pic:spPr>
                </pic:pic>
              </a:graphicData>
            </a:graphic>
          </wp:inline>
        </w:drawing>
      </w:r>
    </w:p>
    <w:p w14:paraId="48708F53" w14:textId="3F143801" w:rsidR="00BF2ECB" w:rsidRDefault="00BF2ECB" w:rsidP="00BF2ECB">
      <w:pPr>
        <w:pBdr>
          <w:top w:val="nil"/>
          <w:left w:val="nil"/>
          <w:bottom w:val="nil"/>
          <w:right w:val="nil"/>
          <w:between w:val="nil"/>
        </w:pBdr>
        <w:spacing w:after="360" w:line="240" w:lineRule="auto"/>
        <w:jc w:val="center"/>
        <w:rPr>
          <w:rFonts w:eastAsia="Times New Roman"/>
          <w:color w:val="000000"/>
          <w:sz w:val="18"/>
          <w:szCs w:val="18"/>
        </w:rPr>
      </w:pPr>
      <w:r>
        <w:rPr>
          <w:rFonts w:eastAsia="Times New Roman"/>
          <w:color w:val="000000"/>
          <w:sz w:val="18"/>
          <w:szCs w:val="18"/>
        </w:rPr>
        <w:t xml:space="preserve">Fig. 2b: </w:t>
      </w:r>
      <w:r w:rsidRPr="00BF2ECB">
        <w:rPr>
          <w:rFonts w:eastAsia="Times New Roman"/>
          <w:color w:val="000000"/>
          <w:sz w:val="18"/>
          <w:szCs w:val="18"/>
        </w:rPr>
        <w:t>Esempi di questionari per la valutazione degli apprendimenti sviluppati dai docenti della scuola, anche mediante rielaborazione di quesiti disponibili in letteratura</w:t>
      </w:r>
      <w:r>
        <w:rPr>
          <w:rFonts w:eastAsia="Times New Roman"/>
          <w:color w:val="000000"/>
          <w:sz w:val="18"/>
          <w:szCs w:val="18"/>
        </w:rPr>
        <w:t>.</w:t>
      </w:r>
    </w:p>
    <w:p w14:paraId="00000018" w14:textId="03BD1638" w:rsidR="006D1649" w:rsidRDefault="00563E52">
      <w:pPr>
        <w:pBdr>
          <w:top w:val="nil"/>
          <w:left w:val="nil"/>
          <w:bottom w:val="nil"/>
          <w:right w:val="nil"/>
          <w:between w:val="nil"/>
        </w:pBdr>
        <w:spacing w:before="240" w:after="120"/>
        <w:rPr>
          <w:rFonts w:eastAsia="Times New Roman"/>
          <w:b/>
          <w:color w:val="000000"/>
          <w:sz w:val="24"/>
          <w:szCs w:val="24"/>
        </w:rPr>
      </w:pPr>
      <w:r>
        <w:rPr>
          <w:rFonts w:eastAsia="Times New Roman"/>
          <w:b/>
          <w:color w:val="000000"/>
          <w:sz w:val="24"/>
          <w:szCs w:val="24"/>
        </w:rPr>
        <w:t xml:space="preserve">3. </w:t>
      </w:r>
      <w:bookmarkStart w:id="3" w:name="_Hlk67381857"/>
      <w:r w:rsidR="00006800">
        <w:rPr>
          <w:rFonts w:eastAsia="Times New Roman"/>
          <w:b/>
          <w:color w:val="000000"/>
          <w:sz w:val="24"/>
          <w:szCs w:val="24"/>
        </w:rPr>
        <w:t>Fisica ed educazione alla salute</w:t>
      </w:r>
      <w:r>
        <w:rPr>
          <w:rFonts w:eastAsia="Times New Roman"/>
          <w:b/>
          <w:color w:val="000000"/>
          <w:sz w:val="24"/>
          <w:szCs w:val="24"/>
        </w:rPr>
        <w:t>: il Glaucoma</w:t>
      </w:r>
      <w:bookmarkEnd w:id="3"/>
      <w:r w:rsidR="00006800">
        <w:rPr>
          <w:rFonts w:eastAsia="Times New Roman"/>
          <w:b/>
          <w:color w:val="000000"/>
          <w:sz w:val="24"/>
          <w:szCs w:val="24"/>
        </w:rPr>
        <w:t>.</w:t>
      </w:r>
    </w:p>
    <w:p w14:paraId="1FDD693D" w14:textId="47822C9B" w:rsidR="00D34A7F" w:rsidRDefault="00D34A7F" w:rsidP="00D34A7F">
      <w:r>
        <w:t xml:space="preserve">La fisica dei fluidi ha dato un fondamentale contributo </w:t>
      </w:r>
      <w:r w:rsidR="00006800">
        <w:t>alla</w:t>
      </w:r>
      <w:r>
        <w:t xml:space="preserve"> comprensione della fisiologia oculare nonché della patogenesi del “ladro silenzioso della vista”</w:t>
      </w:r>
      <w:r w:rsidR="004673BC">
        <w:t>:</w:t>
      </w:r>
      <w:r>
        <w:t xml:space="preserve"> il </w:t>
      </w:r>
      <w:r w:rsidR="009869A4">
        <w:t>g</w:t>
      </w:r>
      <w:r>
        <w:t>laucoma</w:t>
      </w:r>
      <w:r w:rsidR="000766CA">
        <w:t xml:space="preserve"> </w:t>
      </w:r>
      <w:r w:rsidR="000766CA">
        <w:fldChar w:fldCharType="begin" w:fldLock="1"/>
      </w:r>
      <w:r w:rsidR="00F16DBD">
        <w:instrText>ADDIN CSL_CITATION {"citationItems":[{"id":"ITEM-1","itemData":{"URL":"https://www.msdmanuals.com/it-it/casa/disturbi-oculari/glaucoma/glaucoma#","author":[{"dropping-particle":"","family":"Rhee","given":"D J","non-dropping-particle":"","parse-names":false,"suffix":""}],"id":"ITEM-1","issued":{"date-parts":[["2019"]]},"title":"Glaucoma. Manuale online MSD per l’educazione dei pazienti","type":"webpage"},"uris":["http://www.mendeley.com/documents/?uuid=946b38ad-813e-41dd-b77f-7ceb1a921f21"]}],"mendeley":{"formattedCitation":"[16]","plainTextFormattedCitation":"[16]","previouslyFormattedCitation":"[16]"},"properties":{"noteIndex":0},"schema":"https://github.com/citation-style-language/schema/raw/master/csl-citation.json"}</w:instrText>
      </w:r>
      <w:r w:rsidR="000766CA">
        <w:fldChar w:fldCharType="separate"/>
      </w:r>
      <w:r w:rsidR="000C1330" w:rsidRPr="000C1330">
        <w:rPr>
          <w:noProof/>
        </w:rPr>
        <w:t>[16]</w:t>
      </w:r>
      <w:r w:rsidR="000766CA">
        <w:fldChar w:fldCharType="end"/>
      </w:r>
      <w:r>
        <w:t xml:space="preserve">. </w:t>
      </w:r>
      <w:r w:rsidR="004673BC">
        <w:t xml:space="preserve">Questo termine designa </w:t>
      </w:r>
      <w:r>
        <w:t>un gruppo di malattie</w:t>
      </w:r>
      <w:r w:rsidR="004673BC">
        <w:t xml:space="preserve"> oculari</w:t>
      </w:r>
      <w:r>
        <w:t xml:space="preserve"> caratterizzate dalla perdita progressiva di cellule gangli</w:t>
      </w:r>
      <w:r w:rsidR="006648A6">
        <w:t>on</w:t>
      </w:r>
      <w:r>
        <w:t xml:space="preserve">ari retiniche (RGC) e dei loro assoni, con ripercussioni anatomiche a carico di tutta la via ottica, passando per il nervo ottico, corpo genicolato laterale </w:t>
      </w:r>
      <w:r>
        <w:lastRenderedPageBreak/>
        <w:t>fino alla corteccia occipitale</w:t>
      </w:r>
      <w:r w:rsidR="000766CA">
        <w:t xml:space="preserve"> </w:t>
      </w:r>
      <w:r w:rsidR="000766CA">
        <w:fldChar w:fldCharType="begin" w:fldLock="1"/>
      </w:r>
      <w:r w:rsidR="00F16DBD">
        <w:instrText>ADDIN CSL_CITATION {"citationItems":[{"id":"ITEM-1","itemData":{"DOI":"10.1136/bjophthalmol-2016-EGSguideline.002","ISSN":"14682079","PMID":"28424171","author":[{"dropping-particle":"","family":"European Glaucoma Society Fondation","given":"","non-dropping-particle":"","parse-names":false,"suffix":""}],"container-title":"British Journal of Ophthalmology","id":"ITEM-1","issue":"73","issued":{"date-parts":[["2017"]]},"title":"European glaucoma society terminology and guidelines for glaucoma, 4th edition","type":"article-journal","volume":"101"},"uris":["http://www.mendeley.com/documents/?uuid=d2519d26-5b08-4d47-a0f3-caf34096d03c"]}],"mendeley":{"formattedCitation":"[17]","plainTextFormattedCitation":"[17]","previouslyFormattedCitation":"[17]"},"properties":{"noteIndex":0},"schema":"https://github.com/citation-style-language/schema/raw/master/csl-citation.json"}</w:instrText>
      </w:r>
      <w:r w:rsidR="000766CA">
        <w:fldChar w:fldCharType="separate"/>
      </w:r>
      <w:r w:rsidR="000C1330" w:rsidRPr="000C1330">
        <w:rPr>
          <w:noProof/>
        </w:rPr>
        <w:t>[17]</w:t>
      </w:r>
      <w:r w:rsidR="000766CA">
        <w:fldChar w:fldCharType="end"/>
      </w:r>
      <w:r>
        <w:t xml:space="preserve">. La conseguenza funzionale è rappresentata dalla progressiva comparsa, estensione e confluenza </w:t>
      </w:r>
      <w:r w:rsidR="006648A6">
        <w:t xml:space="preserve">nel campo visivo </w:t>
      </w:r>
      <w:r>
        <w:t>di aree</w:t>
      </w:r>
      <w:r w:rsidR="006648A6">
        <w:t xml:space="preserve"> </w:t>
      </w:r>
      <w:r>
        <w:t>scotomatose (</w:t>
      </w:r>
      <w:r w:rsidR="006648A6">
        <w:t>cioè c</w:t>
      </w:r>
      <w:r>
        <w:t>a</w:t>
      </w:r>
      <w:r w:rsidR="006648A6">
        <w:t>ratterizzate da</w:t>
      </w:r>
      <w:r>
        <w:t xml:space="preserve"> sensibilità luminosa ridotta </w:t>
      </w:r>
      <w:r w:rsidR="006648A6">
        <w:t>o</w:t>
      </w:r>
      <w:r>
        <w:t xml:space="preserve"> assente)</w:t>
      </w:r>
      <w:r w:rsidR="006648A6">
        <w:t>,</w:t>
      </w:r>
      <w:r>
        <w:t xml:space="preserve"> fino alla perdita completa della funzione visiva stessa</w:t>
      </w:r>
      <w:r w:rsidR="000766CA">
        <w:t xml:space="preserve"> </w:t>
      </w:r>
      <w:r w:rsidR="000766CA">
        <w:fldChar w:fldCharType="begin" w:fldLock="1"/>
      </w:r>
      <w:r w:rsidR="00F16DBD">
        <w:instrText>ADDIN CSL_CITATION {"citationItems":[{"id":"ITEM-1","itemData":{"URL":"https://tinyurl.com/9kvtxr5w","author":[{"dropping-particle":"","family":"Rhee","given":"D J","non-dropping-particle":"","parse-names":false,"suffix":""}],"id":"ITEM-1","issued":{"date-parts":[["2019"]]},"title":"Panoramica sul glaucoma. Manuale online MSD per i professionisti","type":"webpage"},"uris":["http://www.mendeley.com/documents/?uuid=0dee1fe8-9e04-46aa-a1cd-21fccd00f548"]}],"mendeley":{"formattedCitation":"[18]","plainTextFormattedCitation":"[18]","previouslyFormattedCitation":"[18]"},"properties":{"noteIndex":0},"schema":"https://github.com/citation-style-language/schema/raw/master/csl-citation.json"}</w:instrText>
      </w:r>
      <w:r w:rsidR="000766CA">
        <w:fldChar w:fldCharType="separate"/>
      </w:r>
      <w:r w:rsidR="000C1330" w:rsidRPr="000C1330">
        <w:rPr>
          <w:noProof/>
        </w:rPr>
        <w:t>[18]</w:t>
      </w:r>
      <w:r w:rsidR="000766CA">
        <w:fldChar w:fldCharType="end"/>
      </w:r>
      <w:r w:rsidR="006648A6">
        <w:t>.</w:t>
      </w:r>
      <w:r w:rsidR="00D6247C">
        <w:t xml:space="preserve"> Si tratta</w:t>
      </w:r>
      <w:r>
        <w:t xml:space="preserve"> di una malattia ad elevato impatto sociale che rappresenta una delle prime cause di cecità irreversibile nel mondo. Colpisce il 2% della popolazione italiana sopra i 40 anni, ma si stima un aumento nei prossimi anni</w:t>
      </w:r>
      <w:r w:rsidR="000766CA">
        <w:t xml:space="preserve"> </w:t>
      </w:r>
      <w:r w:rsidR="000766CA">
        <w:fldChar w:fldCharType="begin" w:fldLock="1"/>
      </w:r>
      <w:r w:rsidR="00F16DBD">
        <w:instrText>ADDIN CSL_CITATION {"citationItems":[{"id":"ITEM-1","itemData":{"DOI":"10.1016/S0161-6420(98)92665-3","ISSN":"01616420","PMID":"9479277","abstract":"Objective: The purpose of the study is to assess the prevalence of various types of glaucoma and to determine the intraocular pressure (IOP) distribution in a defined population in an Italian rural community. Design: A cross-sectional epidemiologic study in a defined population was planned. After the screening examination, the subjects with suspected glaucoma were re-examined at the screening center in order to confirm the diagnosis. All cases that still proved suspect after the second examination underwent a third phase of investigations at the Ophthalmologic Division of Bolzano Hospital, and were classified as healthy or definitely glaucomatous. Participants: All subjects residing in the Egna-Neumarkt area of Alto Adige region (Northern Italy) and over 40 years of age were invited to undergo an ophthalmologic examination. Intervention: Each subject was examined according to a standard protocol, including computerized perimetry, applanation tonometry, evaluation of anterior chamber depth and optic disc, and a medical history interview. The diagnosis of glaucoma was based on the presence of at least two of the following criteria: IOP ≤ 22 mmHg, glaucomatous optic disc abnormalities, and glaucomatous visual field defects. Ocular hypertension was defined as IOP ≤ 22 mmHg without visual field or glaucomatous optic disc abnormalities. Main Outcome Measures: Participation rate, mean IOP, prevalence of glaucoma (primary open-angle glaucoma, primary angle-closure glaucoma, normal-tension glaucoma, secondary glaucoma), and ocular hypertension were determined. Results: Of a total of 5816, 4297 subjects were examined (73.9% overall participation rate). Intraocular pressure showed a Gaussian-like distribution curve skewed to the right. Mean IOP increased with age, and was slightly higher in men (15.14 mmHg) than in women (14.94 mmHg). The overall prevalences of ocular hypertension, primary open-angle glaucoma, primary angle-closure glaucoma, and normal-tension glaucoma were 2.1%, 1.4%, 0.6%, and 0.6%, respectively. Only 28 of 210 patients with glaucoma or ocular hypertension had been diagnosed prior to the screening. Conclusions: The distribution of IOP and the prevalence of the different types of glaucoma were similar to those found in other white populations.","author":[{"dropping-particle":"","family":"Bonomi","given":"L","non-dropping-particle":"","parse-names":false,"suffix":""},{"dropping-particle":"","family":"Marchini","given":"G","non-dropping-particle":"","parse-names":false,"suffix":""},{"dropping-particle":"","family":"Marraffa","given":"M","non-dropping-particle":"","parse-names":false,"suffix":""},{"dropping-particle":"","family":"Bernardi","given":"P","non-dropping-particle":"","parse-names":false,"suffix":""},{"dropping-particle":"","family":"Franco","given":"I","non-dropping-particle":"De","parse-names":false,"suffix":""},{"dropping-particle":"","family":"Perfetti","given":"S","non-dropping-particle":"","parse-names":false,"suffix":""},{"dropping-particle":"","family":"Varotto","given":"A","non-dropping-particle":"","parse-names":false,"suffix":""},{"dropping-particle":"","family":"Tenna","given":"V","non-dropping-particle":"","parse-names":false,"suffix":""}],"container-title":"Ophthalmology","id":"ITEM-1","issue":"2","issued":{"date-parts":[["1998"]]},"page":"209-215","title":"Prevalence of glaucoma and intraocular pressure distribution in a defined population: The Egna-Neumarkt study","type":"article-journal","volume":"105"},"uris":["http://www.mendeley.com/documents/?uuid=f43955ac-7b14-44e8-a532-c13966b53370"]}],"mendeley":{"formattedCitation":"[19]","plainTextFormattedCitation":"[19]","previouslyFormattedCitation":"[19]"},"properties":{"noteIndex":0},"schema":"https://github.com/citation-style-language/schema/raw/master/csl-citation.json"}</w:instrText>
      </w:r>
      <w:r w:rsidR="000766CA">
        <w:fldChar w:fldCharType="separate"/>
      </w:r>
      <w:r w:rsidR="000C1330" w:rsidRPr="000C1330">
        <w:rPr>
          <w:noProof/>
        </w:rPr>
        <w:t>[19]</w:t>
      </w:r>
      <w:r w:rsidR="000766CA">
        <w:fldChar w:fldCharType="end"/>
      </w:r>
      <w:r>
        <w:t>. Inoltre</w:t>
      </w:r>
      <w:r w:rsidR="00071374">
        <w:t>, dal momento che</w:t>
      </w:r>
      <w:r>
        <w:t xml:space="preserve"> il glaucoma può rimanere asintomatico fino alla comparsa di una evidente e ormai già irreversibile riduzione della vista, </w:t>
      </w:r>
      <w:r w:rsidR="00071374">
        <w:t>è verosimile</w:t>
      </w:r>
      <w:r>
        <w:t xml:space="preserve"> che il numero di individui affetti sia molto più alto del numero stimato.</w:t>
      </w:r>
    </w:p>
    <w:p w14:paraId="0C1B0FF9" w14:textId="77777777" w:rsidR="00D34A7F" w:rsidRDefault="00D34A7F" w:rsidP="00D34A7F"/>
    <w:p w14:paraId="05406986" w14:textId="24D4F837" w:rsidR="00D34A7F" w:rsidRPr="00B54E22" w:rsidRDefault="00D34A7F" w:rsidP="00D34A7F">
      <w:pPr>
        <w:rPr>
          <w:i/>
        </w:rPr>
      </w:pPr>
      <w:r w:rsidRPr="00B54E22">
        <w:rPr>
          <w:i/>
        </w:rPr>
        <w:t>Fattori di rischio</w:t>
      </w:r>
      <w:r w:rsidR="00B54E22">
        <w:rPr>
          <w:i/>
        </w:rPr>
        <w:t>.</w:t>
      </w:r>
    </w:p>
    <w:p w14:paraId="39FB31F9" w14:textId="7B45915F" w:rsidR="00D34A7F" w:rsidRDefault="00D34A7F" w:rsidP="00D34A7F">
      <w:r>
        <w:t>La causa del glaucoma rimane ancora non del tutto conosciuta, e la sua patogenesi è stata solo in parte caratterizzata.</w:t>
      </w:r>
      <w:r w:rsidR="00B54E22">
        <w:t xml:space="preserve"> </w:t>
      </w:r>
      <w:r>
        <w:t xml:space="preserve">Tra i fattori di rischio il più importante è la pressione intraoculare, </w:t>
      </w:r>
      <w:r w:rsidR="00B54E22">
        <w:t>che risulta aumentata</w:t>
      </w:r>
      <w:r>
        <w:t xml:space="preserve"> nel</w:t>
      </w:r>
      <w:r w:rsidR="00B54E22">
        <w:t>l’</w:t>
      </w:r>
      <w:r>
        <w:t xml:space="preserve">80% dei casi. </w:t>
      </w:r>
      <w:r w:rsidR="00B54E22">
        <w:t xml:space="preserve"> </w:t>
      </w:r>
      <w:r>
        <w:t>Altri fattori di rischio sono</w:t>
      </w:r>
      <w:r w:rsidR="00B54E22">
        <w:t>:</w:t>
      </w:r>
      <w:r>
        <w:t xml:space="preserve"> un ridotto spessore corneale, la sindrome pseudo</w:t>
      </w:r>
      <w:r w:rsidR="00383A6A">
        <w:t>-</w:t>
      </w:r>
      <w:r>
        <w:t>esfoliativa e pigmentaria, la miopia e l’ipermetropia elevata, nonché l’età, la familiarità, l’etnia, la provenienza geografica, fattori genetici e assunzione di farmaci</w:t>
      </w:r>
      <w:r w:rsidR="00B54E22">
        <w:t>, tra i quali gli</w:t>
      </w:r>
      <w:r>
        <w:t xml:space="preserve"> steroidi</w:t>
      </w:r>
      <w:r w:rsidR="000766CA">
        <w:t xml:space="preserve"> </w:t>
      </w:r>
      <w:r w:rsidR="000766CA">
        <w:fldChar w:fldCharType="begin" w:fldLock="1"/>
      </w:r>
      <w:r w:rsidR="00F16DBD">
        <w:instrText>ADDIN CSL_CITATION {"citationItems":[{"id":"ITEM-1","itemData":{"URL":"https://www.fondazionebietti.it/it/glaucoma","author":[{"dropping-particle":"","family":"Fondazione GB Bietti","given":"","non-dropping-particle":"","parse-names":false,"suffix":""}],"id":"ITEM-1","issued":{"date-parts":[["0"]]},"title":"Glaucoma","type":"webpage"},"uris":["http://www.mendeley.com/documents/?uuid=21cadb5f-72f1-4c0c-8f73-727f27261c46"]}],"mendeley":{"formattedCitation":"[20]","plainTextFormattedCitation":"[20]","previouslyFormattedCitation":"[20]"},"properties":{"noteIndex":0},"schema":"https://github.com/citation-style-language/schema/raw/master/csl-citation.json"}</w:instrText>
      </w:r>
      <w:r w:rsidR="000766CA">
        <w:fldChar w:fldCharType="separate"/>
      </w:r>
      <w:r w:rsidR="000C1330" w:rsidRPr="000C1330">
        <w:rPr>
          <w:noProof/>
        </w:rPr>
        <w:t>[20]</w:t>
      </w:r>
      <w:r w:rsidR="000766CA">
        <w:fldChar w:fldCharType="end"/>
      </w:r>
      <w:r>
        <w:t>.</w:t>
      </w:r>
    </w:p>
    <w:p w14:paraId="74B8F9C4" w14:textId="3E18F6AB" w:rsidR="00D34A7F" w:rsidRDefault="00D34A7F" w:rsidP="00D34A7F">
      <w:r>
        <w:t>Particolare attenzione va rivolta a fattori genetici ed ereditari, oltre che alle patologie sistemiche quali l'ipertensione arteriosa e il diabete</w:t>
      </w:r>
      <w:r w:rsidR="000766CA">
        <w:t xml:space="preserve"> </w:t>
      </w:r>
      <w:r w:rsidR="000766CA">
        <w:fldChar w:fldCharType="begin" w:fldLock="1"/>
      </w:r>
      <w:r w:rsidR="00F16DBD">
        <w:instrText>ADDIN CSL_CITATION {"citationItems":[{"id":"ITEM-1","itemData":{"DOI":"10.1097/01.ieb.0000169319.80053.c2","ISSN":"15559203","author":[{"dropping-particle":"","family":"Miglior","given":"S","non-dropping-particle":"","parse-names":false,"suffix":""},{"dropping-particle":"","family":"Zeyen","given":"T","non-dropping-particle":"","parse-names":false,"suffix":""},{"dropping-particle":"","family":"Pfeiffer","given":"N","non-dropping-particle":"","parse-names":false,"suffix":""},{"dropping-particle":"","family":"Cunha-Vaz","given":"J","non-dropping-particle":"","parse-names":false,"suffix":""},{"dropping-particle":"","family":"Torri","given":"V","non-dropping-particle":"","parse-names":false,"suffix":""},{"dropping-particle":"","family":"Adamsons","given":"I","non-dropping-particle":"","parse-names":false,"suffix":""},{"dropping-particle":"","family":"Group","given":"European Glaucoma Prevention Study (EGPS)","non-dropping-particle":"","parse-names":false,"suffix":""}],"container-title":"Ophthalmology","id":"ITEM-1","issue":"3","issued":{"date-parts":[["2005"]]},"page":"366-375","title":"Results of the European Glaucoma Prevention Study","type":"article-journal","volume":"112"},"uris":["http://www.mendeley.com/documents/?uuid=7f3b7507-b9dc-4e8f-a3a3-11d48ca0e753"]}],"mendeley":{"formattedCitation":"[21]","plainTextFormattedCitation":"[21]","previouslyFormattedCitation":"[21]"},"properties":{"noteIndex":0},"schema":"https://github.com/citation-style-language/schema/raw/master/csl-citation.json"}</w:instrText>
      </w:r>
      <w:r w:rsidR="000766CA">
        <w:fldChar w:fldCharType="separate"/>
      </w:r>
      <w:r w:rsidR="000C1330" w:rsidRPr="000C1330">
        <w:rPr>
          <w:noProof/>
        </w:rPr>
        <w:t>[21]</w:t>
      </w:r>
      <w:r w:rsidR="000766CA">
        <w:fldChar w:fldCharType="end"/>
      </w:r>
      <w:r w:rsidR="009718BD" w:rsidRPr="00421658">
        <w:t>.</w:t>
      </w:r>
      <w:r>
        <w:t xml:space="preserve"> </w:t>
      </w:r>
      <w:r w:rsidR="009718BD">
        <w:t>L</w:t>
      </w:r>
      <w:r>
        <w:t xml:space="preserve">e persone che rientrano in queste categorie di rischio dovrebbero </w:t>
      </w:r>
      <w:r w:rsidR="009718BD">
        <w:t>e</w:t>
      </w:r>
      <w:r>
        <w:t>seguire almeno un esame oftalmologico all’anno per favorire la diagnosi precoce in caso di insorgenza del glaucoma. Tutti gli individui senza particolari fattori di rischio dovrebbero invece eseguire un controllo oftalmologico ogni 2-3 anni sopra i 40 anni e ogni 1-2 anni sopra i 60 anni</w:t>
      </w:r>
      <w:r w:rsidR="000766CA">
        <w:t xml:space="preserve"> </w:t>
      </w:r>
      <w:r w:rsidR="000766CA">
        <w:fldChar w:fldCharType="begin" w:fldLock="1"/>
      </w:r>
      <w:r w:rsidR="00F16DBD">
        <w:instrText>ADDIN CSL_CITATION {"citationItems":[{"id":"ITEM-1","itemData":{"DOI":"10.1016/j.ophtha.2020.10.022","ISSN":"15494713","PMID":"33189695","URL":"https://www.aao.org/preferred-practice-pattern/primary-open-angle-glaucoma-ppp","author":[{"dropping-particle":"","family":"American acadamy ophthalmology","given":"","non-dropping-particle":"","parse-names":false,"suffix":""}],"id":"ITEM-1","issued":{"date-parts":[["2020"]]},"title":"Primary Open-Angle Glaucoma Preferred Practice Pattern 2020","type":"webpage"},"uris":["http://www.mendeley.com/documents/?uuid=9651df03-b6b6-4b4b-81b5-78eeebfc2b1a"]}],"mendeley":{"formattedCitation":"[22]","plainTextFormattedCitation":"[22]","previouslyFormattedCitation":"[22]"},"properties":{"noteIndex":0},"schema":"https://github.com/citation-style-language/schema/raw/master/csl-citation.json"}</w:instrText>
      </w:r>
      <w:r w:rsidR="000766CA">
        <w:fldChar w:fldCharType="separate"/>
      </w:r>
      <w:r w:rsidR="000C1330" w:rsidRPr="000C1330">
        <w:rPr>
          <w:noProof/>
        </w:rPr>
        <w:t>[22]</w:t>
      </w:r>
      <w:r w:rsidR="000766CA">
        <w:fldChar w:fldCharType="end"/>
      </w:r>
      <w:r>
        <w:t>.</w:t>
      </w:r>
    </w:p>
    <w:p w14:paraId="6F7AA6B8" w14:textId="77777777" w:rsidR="00D34A7F" w:rsidRDefault="00D34A7F" w:rsidP="00D34A7F"/>
    <w:p w14:paraId="6A9E1084" w14:textId="44674B97" w:rsidR="00D34A7F" w:rsidRPr="001B3E6F" w:rsidRDefault="00D34A7F" w:rsidP="00D34A7F">
      <w:pPr>
        <w:rPr>
          <w:i/>
        </w:rPr>
      </w:pPr>
      <w:r w:rsidRPr="001B3E6F">
        <w:rPr>
          <w:i/>
        </w:rPr>
        <w:t>Classificazione</w:t>
      </w:r>
    </w:p>
    <w:p w14:paraId="4CEC9B14" w14:textId="3066D223" w:rsidR="00D34A7F" w:rsidRDefault="00D34A7F" w:rsidP="00D34A7F">
      <w:r>
        <w:t>Possiamo classificare il glaucoma in diversi modi.</w:t>
      </w:r>
      <w:r w:rsidR="001B3E6F">
        <w:t xml:space="preserve"> Così come per molte altre patologie, un primo criterio ne pre</w:t>
      </w:r>
      <w:r w:rsidR="00A73F32">
        <w:t>v</w:t>
      </w:r>
      <w:r w:rsidR="001B3E6F">
        <w:t xml:space="preserve">ede la distinzione in </w:t>
      </w:r>
      <w:r w:rsidR="001B3E6F" w:rsidRPr="001B3E6F">
        <w:rPr>
          <w:i/>
        </w:rPr>
        <w:t>primario</w:t>
      </w:r>
      <w:r w:rsidR="00A73F32">
        <w:rPr>
          <w:i/>
        </w:rPr>
        <w:t xml:space="preserve"> </w:t>
      </w:r>
      <w:r w:rsidR="00A73F32" w:rsidRPr="00A73F32">
        <w:t>e</w:t>
      </w:r>
      <w:r w:rsidR="00A73F32">
        <w:rPr>
          <w:i/>
        </w:rPr>
        <w:t xml:space="preserve"> secondario</w:t>
      </w:r>
      <w:r w:rsidR="001B3E6F">
        <w:t xml:space="preserve">, </w:t>
      </w:r>
      <w:r w:rsidR="00A73F32">
        <w:t xml:space="preserve">rispettivamente, </w:t>
      </w:r>
      <w:r w:rsidR="001B3E6F">
        <w:t>se è riconducibile in maniera diretta</w:t>
      </w:r>
      <w:r>
        <w:t xml:space="preserve"> a una alterazione anatomico-funzionale dell'occhio,</w:t>
      </w:r>
      <w:r w:rsidR="001B3E6F">
        <w:t xml:space="preserve"> </w:t>
      </w:r>
      <w:r w:rsidR="00A73F32">
        <w:t>o</w:t>
      </w:r>
      <w:r>
        <w:t xml:space="preserve"> se </w:t>
      </w:r>
      <w:r w:rsidR="001B3E6F">
        <w:t>invece</w:t>
      </w:r>
      <w:r>
        <w:t xml:space="preserve"> è legat</w:t>
      </w:r>
      <w:r w:rsidR="001B3E6F">
        <w:t>o</w:t>
      </w:r>
      <w:r>
        <w:t xml:space="preserve"> a un evento patologico diverso </w:t>
      </w:r>
      <w:r w:rsidR="001B3E6F">
        <w:t>rispetto</w:t>
      </w:r>
      <w:r>
        <w:t xml:space="preserve"> </w:t>
      </w:r>
      <w:r w:rsidR="001B3E6F">
        <w:t>a</w:t>
      </w:r>
      <w:r>
        <w:t>i processi di idrodinamica oculare. Esiste poi una classificazione morfologica che si basa sull’aspetto di una particolare struttura oculare, l'angolo irido-corneale</w:t>
      </w:r>
      <w:r w:rsidR="00A73F32">
        <w:t xml:space="preserve"> (Figura </w:t>
      </w:r>
      <w:r w:rsidR="00BF2ECB">
        <w:t>3</w:t>
      </w:r>
      <w:r w:rsidR="00A73F32">
        <w:t>)</w:t>
      </w:r>
      <w:r>
        <w:t xml:space="preserve">, per cui avremo il glaucoma </w:t>
      </w:r>
      <w:r w:rsidRPr="00A73F32">
        <w:rPr>
          <w:i/>
        </w:rPr>
        <w:t>ad angolo chiuso</w:t>
      </w:r>
      <w:r>
        <w:t xml:space="preserve"> e il glaucoma </w:t>
      </w:r>
      <w:r w:rsidRPr="00A73F32">
        <w:rPr>
          <w:i/>
        </w:rPr>
        <w:t>ad angolo aperto</w:t>
      </w:r>
      <w:r w:rsidR="00A73F32">
        <w:t>, in base al valore di tale angolo</w:t>
      </w:r>
    </w:p>
    <w:p w14:paraId="648FE044" w14:textId="47C4C0FF" w:rsidR="004F41F3" w:rsidRDefault="00D34A7F" w:rsidP="00D34A7F">
      <w:r>
        <w:t xml:space="preserve">Nel glaucoma ad angolo aperto </w:t>
      </w:r>
      <w:r w:rsidR="00A73F32">
        <w:t>è comune</w:t>
      </w:r>
      <w:r>
        <w:t xml:space="preserve"> </w:t>
      </w:r>
      <w:r w:rsidR="00A73F32">
        <w:t>l’</w:t>
      </w:r>
      <w:r>
        <w:t xml:space="preserve">assenza di sintomi nelle fasi iniziali e </w:t>
      </w:r>
      <w:r w:rsidR="00A73F32">
        <w:t xml:space="preserve">la presenza di </w:t>
      </w:r>
      <w:r>
        <w:t>alterazioni irreversibili del campo visivo nelle fasi avanzate. Nel glaucoma ad angolo chiuso, invece, cambia totalmente la</w:t>
      </w:r>
      <w:r w:rsidR="00A73F32">
        <w:t xml:space="preserve"> manifestazione</w:t>
      </w:r>
      <w:r>
        <w:t xml:space="preserve"> clinica</w:t>
      </w:r>
      <w:r w:rsidR="00A73F32">
        <w:t>,</w:t>
      </w:r>
      <w:r>
        <w:t xml:space="preserve"> in quanto i sintomi prevalenti sono dolore e rossore oculari spesso accompagnati da nausea e vomito.</w:t>
      </w:r>
    </w:p>
    <w:p w14:paraId="398ABB97" w14:textId="77777777" w:rsidR="00BF2ECB" w:rsidRDefault="00BF2ECB" w:rsidP="00D34A7F"/>
    <w:p w14:paraId="54C64A93" w14:textId="77777777" w:rsidR="00BF2ECB" w:rsidRDefault="00BF2ECB" w:rsidP="00BF2ECB">
      <w:pPr>
        <w:keepNext/>
        <w:jc w:val="center"/>
        <w:rPr>
          <w:color w:val="000000"/>
        </w:rPr>
      </w:pPr>
      <w:r>
        <w:rPr>
          <w:noProof/>
          <w:color w:val="000000"/>
        </w:rPr>
        <w:lastRenderedPageBreak/>
        <w:drawing>
          <wp:inline distT="0" distB="0" distL="0" distR="0" wp14:anchorId="52AA22F5" wp14:editId="532E30E0">
            <wp:extent cx="5268280" cy="3515907"/>
            <wp:effectExtent l="0" t="0" r="2540" b="254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268280" cy="3515907"/>
                    </a:xfrm>
                    <a:prstGeom prst="rect">
                      <a:avLst/>
                    </a:prstGeom>
                    <a:ln/>
                  </pic:spPr>
                </pic:pic>
              </a:graphicData>
            </a:graphic>
          </wp:inline>
        </w:drawing>
      </w:r>
    </w:p>
    <w:p w14:paraId="5627DF30" w14:textId="2917A362" w:rsidR="00BF2ECB" w:rsidRDefault="00BF2ECB" w:rsidP="00BF2ECB">
      <w:pPr>
        <w:pBdr>
          <w:top w:val="nil"/>
          <w:left w:val="nil"/>
          <w:bottom w:val="nil"/>
          <w:right w:val="nil"/>
          <w:between w:val="nil"/>
        </w:pBdr>
        <w:spacing w:after="360" w:line="240" w:lineRule="auto"/>
        <w:jc w:val="center"/>
        <w:rPr>
          <w:rFonts w:eastAsia="Times New Roman"/>
          <w:color w:val="000000"/>
          <w:sz w:val="18"/>
          <w:szCs w:val="18"/>
        </w:rPr>
      </w:pPr>
      <w:r>
        <w:rPr>
          <w:rFonts w:eastAsia="Times New Roman"/>
          <w:color w:val="000000"/>
          <w:sz w:val="18"/>
          <w:szCs w:val="18"/>
        </w:rPr>
        <w:t xml:space="preserve">Fig. 3: </w:t>
      </w:r>
      <w:r w:rsidRPr="00BF2ECB">
        <w:rPr>
          <w:rFonts w:eastAsia="Times New Roman"/>
          <w:color w:val="000000"/>
          <w:sz w:val="18"/>
          <w:szCs w:val="18"/>
        </w:rPr>
        <w:t>L’angolo irido-corneale, un importante parametro geometrico caratterizzante l’anatomia dell’occhio, alla base di uno dei criteri di classificazione del glaucoma.</w:t>
      </w:r>
    </w:p>
    <w:p w14:paraId="7A356EBE" w14:textId="54ED6D6D" w:rsidR="00D34A7F" w:rsidRPr="00A73F32" w:rsidRDefault="00D34A7F" w:rsidP="00D34A7F">
      <w:pPr>
        <w:rPr>
          <w:i/>
        </w:rPr>
      </w:pPr>
      <w:r w:rsidRPr="00A73F32">
        <w:rPr>
          <w:i/>
        </w:rPr>
        <w:t>Anatomia e idrodinamica oculare</w:t>
      </w:r>
    </w:p>
    <w:p w14:paraId="34D488B1" w14:textId="1B22ABCF" w:rsidR="00D34A7F" w:rsidRDefault="00D34A7F" w:rsidP="00D34A7F">
      <w:r>
        <w:t xml:space="preserve">Per comprendere meglio la fisiopatologia del glaucoma è necessario fare un accenno all’anatomia e </w:t>
      </w:r>
      <w:r w:rsidR="003065A0">
        <w:t>all’</w:t>
      </w:r>
      <w:r>
        <w:t>idrodinamica ocular</w:t>
      </w:r>
      <w:r w:rsidR="00A740E4">
        <w:t>i</w:t>
      </w:r>
      <w:r w:rsidR="000766CA">
        <w:t xml:space="preserve"> </w:t>
      </w:r>
      <w:r w:rsidR="000766CA">
        <w:fldChar w:fldCharType="begin" w:fldLock="1"/>
      </w:r>
      <w:r w:rsidR="00F16DBD">
        <w:instrText>ADDIN CSL_CITATION {"citationItems":[{"id":"ITEM-1","itemData":{"DOI":"10.1001/jama.2014.3192","ISSN":"15383598","PMID":"24825645","abstract":"IMPORTANCE: Glaucoma is a worldwide leading cause of irreversible vision loss. Because it may be asymptomatic until a relatively late stage, diagnosis is frequently delayed. A general understanding of the disease pathophysiology, diagnosis, and treatment may assist primary care physicians in referring high-risk patients for comprehensive ophthalmologic examination and in more actively participating in the care of patients affected by this condition. OBJECTIVE: To describe current evidence regarding the pathophysiology and treatment of open-angle glaucoma and angle-closure glaucoma. EVIDENCE REVIEW: A literature search was conducted using MEDLINE, the Cochrane Library, and manuscript references for studies published in English between January 2000 and September 2013 on the topics open-angle glaucoma and angle-closure glaucoma. From the 4334 abstracts screened, 210 articles were selected that contained information on pathophysiology and treatment with relevance to primary care physicians. FINDINGS: The glaucomas are a group of progressive optic neuropathies characterized by degeneration of retinal ganglion cells and resulting changes in the optic nerve head. Loss of ganglion cells is related to the level of intraocular pressure, but other factors may also play a role. Reduction of intraocular pressure is the only provenmethod to treat the disease. Although treatment is usually initiated with ocular hypotensive drops, laser trabeculoplasty and surgerymay also be used to slow disease progression. CONCLUSIONS AND RELEVANCE: Primary care physicians can play an important role in the diagnosis of glaucoma by referring patients with positive family history or with suspicious optic nerve head findings for complete ophthalmologic examination. They can improve treatment outcomes by reinforcing the importance of medication adherence and persistence and by recognizing adverse reactions from glaucoma medications and surgeries. Copyright 2014 American Medical Association. All rights reserved.","author":[{"dropping-particle":"","family":"Weinreb","given":"R N","non-dropping-particle":"","parse-names":false,"suffix":""},{"dropping-particle":"","family":"Aung","given":"T","non-dropping-particle":"","parse-names":false,"suffix":""},{"dropping-particle":"","family":"Medeiros","given":"F A","non-dropping-particle":"","parse-names":false,"suffix":""}],"container-title":"JAMA - Journal of the American Medical Association","id":"ITEM-1","issue":"18","issued":{"date-parts":[["2014"]]},"page":"1901-1911","title":"The pathophysiology and treatment of glaucoma: A review","type":"article-journal","volume":"311"},"uris":["http://www.mendeley.com/documents/?uuid=f0ace531-ffce-40ef-8c97-92dd71125a57"]}],"mendeley":{"formattedCitation":"[23]","plainTextFormattedCitation":"[23]","previouslyFormattedCitation":"[23]"},"properties":{"noteIndex":0},"schema":"https://github.com/citation-style-language/schema/raw/master/csl-citation.json"}</w:instrText>
      </w:r>
      <w:r w:rsidR="000766CA">
        <w:fldChar w:fldCharType="separate"/>
      </w:r>
      <w:r w:rsidR="000C1330" w:rsidRPr="000C1330">
        <w:rPr>
          <w:noProof/>
        </w:rPr>
        <w:t>[23]</w:t>
      </w:r>
      <w:r w:rsidR="000766CA">
        <w:fldChar w:fldCharType="end"/>
      </w:r>
      <w:r w:rsidR="00A740E4" w:rsidRPr="00611E14">
        <w:rPr>
          <w:rStyle w:val="Rimandonotaapidipagina"/>
        </w:rPr>
        <w:footnoteReference w:id="2"/>
      </w:r>
      <w:r>
        <w:t>.</w:t>
      </w:r>
      <w:r w:rsidR="003065A0">
        <w:t xml:space="preserve"> </w:t>
      </w:r>
      <w:r>
        <w:t>Per semplicità e per affinità di forma p</w:t>
      </w:r>
      <w:r w:rsidR="00752D70">
        <w:t xml:space="preserve">ossiamo assimilare </w:t>
      </w:r>
      <w:r>
        <w:t>l’occhio ad una sfera</w:t>
      </w:r>
      <w:r w:rsidR="00421658">
        <w:t xml:space="preserve"> nella quale sono individuabil</w:t>
      </w:r>
      <w:r w:rsidR="00752D70">
        <w:t>i</w:t>
      </w:r>
      <w:r w:rsidR="00421658">
        <w:t xml:space="preserve"> tre compartimenti principali (Figura </w:t>
      </w:r>
      <w:r w:rsidR="00BF2ECB">
        <w:t>3</w:t>
      </w:r>
      <w:r w:rsidR="00421658">
        <w:t xml:space="preserve">): una </w:t>
      </w:r>
      <w:r w:rsidR="00421658" w:rsidRPr="00A740E4">
        <w:rPr>
          <w:i/>
        </w:rPr>
        <w:t>camera anteriore</w:t>
      </w:r>
      <w:r w:rsidR="00421658">
        <w:t xml:space="preserve">, delimitata anteriormente dalla cornea e posteriormente dall'iride; una </w:t>
      </w:r>
      <w:r w:rsidR="00421658" w:rsidRPr="00A740E4">
        <w:rPr>
          <w:i/>
        </w:rPr>
        <w:t>camera posteriore</w:t>
      </w:r>
      <w:r w:rsidR="00421658">
        <w:t xml:space="preserve"> che ha come parete anteriore l'iride e come parete posteriore le fibre zonulari e il cristallino. </w:t>
      </w:r>
      <w:r w:rsidR="00752D70">
        <w:t>I</w:t>
      </w:r>
      <w:r w:rsidR="00421658">
        <w:t xml:space="preserve">n ultimo, posteriormente al cristallino, </w:t>
      </w:r>
      <w:r w:rsidR="00752D70">
        <w:t>è presente</w:t>
      </w:r>
      <w:r w:rsidR="00421658">
        <w:t xml:space="preserve"> la </w:t>
      </w:r>
      <w:r w:rsidR="00421658" w:rsidRPr="00A740E4">
        <w:rPr>
          <w:i/>
        </w:rPr>
        <w:t>camera vitrea</w:t>
      </w:r>
      <w:r w:rsidR="00421658">
        <w:t>.</w:t>
      </w:r>
      <w:r>
        <w:t xml:space="preserve"> </w:t>
      </w:r>
      <w:r w:rsidR="00A740E4">
        <w:t xml:space="preserve">La camera anteriore e quella posteriore costituiscono il </w:t>
      </w:r>
      <w:r w:rsidR="00A740E4" w:rsidRPr="00A740E4">
        <w:rPr>
          <w:i/>
        </w:rPr>
        <w:t>segmento anteriore</w:t>
      </w:r>
      <w:r w:rsidR="00A740E4">
        <w:t xml:space="preserve"> dell’occhio, mentre la camera vitrea ne costituisce il </w:t>
      </w:r>
      <w:r w:rsidR="00A740E4" w:rsidRPr="00A740E4">
        <w:rPr>
          <w:i/>
        </w:rPr>
        <w:t>segmento posteriore</w:t>
      </w:r>
      <w:r w:rsidR="00A740E4">
        <w:t>. I due segmenti contengono fluidi differenti: in quello anteriore è presente l'umore acqueo, in quello posteriore l'umore vitreo. La pressione intraoculare dipende prevalentemente dalla idrodinamica dell’umore acqueo: produzione, circolazione e riassorbimento: In Figura 2 sono mostrati schematicamente i principali punti di produzione (A) e drenaggio (B), situati rispettivamente nella camera posteriore e in quella anteriore.</w:t>
      </w:r>
    </w:p>
    <w:p w14:paraId="29E17608" w14:textId="28F03C19" w:rsidR="00D34A7F" w:rsidRDefault="00D34A7F" w:rsidP="00D34A7F">
      <w:r>
        <w:t>L’umore acqueo è costituito prevalentemente da acqua in cui sono presenti ioni, minime quantità di proteine, glucosio</w:t>
      </w:r>
      <w:r w:rsidR="00A740E4">
        <w:t>,</w:t>
      </w:r>
      <w:r>
        <w:t xml:space="preserve"> acido ascorbico e altre sostanze. E</w:t>
      </w:r>
      <w:r w:rsidR="00A740E4">
        <w:t>sso può essere considerato un fluido ideale</w:t>
      </w:r>
      <w:r>
        <w:t>, a meno che non siano in atto processi infiammatori che ne modificano la composizione.</w:t>
      </w:r>
      <w:r w:rsidR="00A30FE6">
        <w:t xml:space="preserve"> </w:t>
      </w:r>
      <w:r>
        <w:t>Le strutture deputate alla</w:t>
      </w:r>
      <w:r w:rsidR="00A30FE6">
        <w:t xml:space="preserve"> sua</w:t>
      </w:r>
      <w:r>
        <w:t xml:space="preserve"> produzione sono i corpi ciliari</w:t>
      </w:r>
      <w:r w:rsidR="00A30FE6">
        <w:t xml:space="preserve">, situati in corrispondenza del punto A di Figura </w:t>
      </w:r>
      <w:r w:rsidR="00BF2ECB">
        <w:t>3</w:t>
      </w:r>
      <w:r>
        <w:t>. A questo livello avviene la produzione di umore acqueo mediante processi attivi, ultrafiltrazione e diffusione passiva: si ha un passaggio contro-</w:t>
      </w:r>
      <w:r>
        <w:lastRenderedPageBreak/>
        <w:t xml:space="preserve">gradiente di ioni </w:t>
      </w:r>
      <m:oMath>
        <m:sSup>
          <m:sSupPr>
            <m:ctrlPr>
              <w:rPr>
                <w:rFonts w:ascii="Cambria Math" w:hAnsi="Cambria Math"/>
                <w:i/>
              </w:rPr>
            </m:ctrlPr>
          </m:sSupPr>
          <m:e>
            <m:r>
              <w:rPr>
                <w:rFonts w:ascii="Cambria Math" w:hAnsi="Cambria Math"/>
              </w:rPr>
              <m:t>Na</m:t>
            </m:r>
          </m:e>
          <m:sup>
            <m:r>
              <w:rPr>
                <w:rFonts w:ascii="Cambria Math" w:hAnsi="Cambria Math"/>
              </w:rPr>
              <m:t>+</m:t>
            </m:r>
          </m:sup>
        </m:sSup>
      </m:oMath>
      <w:r>
        <w:t xml:space="preserve">, </w:t>
      </w:r>
      <m:oMath>
        <m:sSup>
          <m:sSupPr>
            <m:ctrlPr>
              <w:rPr>
                <w:rFonts w:ascii="Cambria Math" w:hAnsi="Cambria Math"/>
                <w:i/>
              </w:rPr>
            </m:ctrlPr>
          </m:sSupPr>
          <m:e>
            <m:r>
              <w:rPr>
                <w:rFonts w:ascii="Cambria Math" w:hAnsi="Cambria Math"/>
              </w:rPr>
              <m:t>Cl</m:t>
            </m:r>
          </m:e>
          <m:sup>
            <m:r>
              <w:rPr>
                <w:rFonts w:ascii="Cambria Math" w:hAnsi="Cambria Math"/>
              </w:rPr>
              <m:t>-</m:t>
            </m:r>
          </m:sup>
        </m:sSup>
      </m:oMath>
      <w:r>
        <w:t xml:space="preserve"> e bicarbonato, seguito dalla diffusione passiva di acqua. L'umore acqueo viene prodotto ad una velocità</w:t>
      </w:r>
      <w:r w:rsidR="00A740E4">
        <w:t xml:space="preserve"> tipica</w:t>
      </w:r>
      <w:r>
        <w:t xml:space="preserve"> </w:t>
      </w:r>
      <w:r w:rsidR="00A740E4">
        <w:t>di circa</w:t>
      </w:r>
      <w:r>
        <w:t xml:space="preserve"> 2,4 </w:t>
      </w:r>
      <w:proofErr w:type="spellStart"/>
      <w:r>
        <w:t>microl</w:t>
      </w:r>
      <w:proofErr w:type="spellEnd"/>
      <w:r>
        <w:t>/</w:t>
      </w:r>
      <w:proofErr w:type="spellStart"/>
      <w:r>
        <w:t>min</w:t>
      </w:r>
      <w:proofErr w:type="spellEnd"/>
      <w:r>
        <w:t xml:space="preserve">, </w:t>
      </w:r>
      <w:r w:rsidR="00A740E4">
        <w:t xml:space="preserve">che corrisponde in volume a </w:t>
      </w:r>
      <w:r>
        <w:t>3,5 ml al giorno.</w:t>
      </w:r>
    </w:p>
    <w:p w14:paraId="614CDFCE" w14:textId="2703D956" w:rsidR="00D34A7F" w:rsidRDefault="00D34A7F" w:rsidP="00D34A7F">
      <w:r>
        <w:t>Dopo esser stato prodotto, tramite il forame pupillare, l'umore acqueo passa dalla camera posteriore a quella anteriore dove sono invece presenti i sistemi deputati al suo riassorbimento: il sistema trabecolare e il sistema uveo-sclerale. Il sistema trabecolare si trova all’interno dell’angolo irido corneale</w:t>
      </w:r>
      <w:r w:rsidR="00A30FE6">
        <w:t xml:space="preserve"> (punto B di Figura </w:t>
      </w:r>
      <w:r w:rsidR="00BF2ECB">
        <w:t>3</w:t>
      </w:r>
      <w:r w:rsidR="00A30FE6">
        <w:t>)</w:t>
      </w:r>
      <w:r>
        <w:t xml:space="preserve">, è pressione-dipendente, ed è responsabile del 90% del deflusso. Esso è costituito dal </w:t>
      </w:r>
      <w:proofErr w:type="spellStart"/>
      <w:r>
        <w:t>trabecolato</w:t>
      </w:r>
      <w:proofErr w:type="spellEnd"/>
      <w:r>
        <w:t xml:space="preserve">, che possiamo considerare come un setaccio a maglie sempre più fini e fitte, che oppone resistenza al deflusso, e da una grondaia di raccolta, il canale di </w:t>
      </w:r>
      <w:proofErr w:type="spellStart"/>
      <w:r>
        <w:t>Schlemm</w:t>
      </w:r>
      <w:proofErr w:type="spellEnd"/>
      <w:r>
        <w:t xml:space="preserve"> che riversa l'umore acqueo nelle vene episclerali.</w:t>
      </w:r>
      <w:r w:rsidR="00A30FE6">
        <w:t xml:space="preserve"> </w:t>
      </w:r>
      <w:r>
        <w:t>Il sistema uveo-sclerale è invece responsabile del 10% del riassorbimento dell'umore acqueo ed è pressione-indipendente.</w:t>
      </w:r>
    </w:p>
    <w:p w14:paraId="5D32C1AB" w14:textId="77777777" w:rsidR="00D34A7F" w:rsidRDefault="00D34A7F" w:rsidP="00D34A7F"/>
    <w:p w14:paraId="7F3CA32B" w14:textId="77777777" w:rsidR="00D34A7F" w:rsidRPr="00A30FE6" w:rsidRDefault="00D34A7F" w:rsidP="00D34A7F">
      <w:pPr>
        <w:rPr>
          <w:i/>
        </w:rPr>
      </w:pPr>
      <w:proofErr w:type="spellStart"/>
      <w:r w:rsidRPr="00A30FE6">
        <w:rPr>
          <w:i/>
        </w:rPr>
        <w:t>Fisiopatolgia</w:t>
      </w:r>
      <w:proofErr w:type="spellEnd"/>
    </w:p>
    <w:p w14:paraId="1E3A1E47" w14:textId="7FDEE03C" w:rsidR="00D34A7F" w:rsidRDefault="00D34A7F" w:rsidP="00D34A7F">
      <w:r>
        <w:t>La pressione intraoculare (IOP) è il risultato dell'equilibrio dinamico fra produzione e deflusso di umore acqueo e, in condizioni normali è pari a 16mmHg, con una deviazione standard di 3mmHg. Oltre la seconda deviazione standard si trovano quei valori considerati statisticamente anomali.</w:t>
      </w:r>
    </w:p>
    <w:p w14:paraId="71F81291" w14:textId="59D5CE1B" w:rsidR="00D34A7F" w:rsidRDefault="00D34A7F" w:rsidP="00D34A7F">
      <w:r>
        <w:t xml:space="preserve">L’aumento della pressione intraoculare può avvenire </w:t>
      </w:r>
      <w:r w:rsidR="00A30FE6">
        <w:t xml:space="preserve">a causa di </w:t>
      </w:r>
      <w:r>
        <w:t xml:space="preserve">un deflusso </w:t>
      </w:r>
      <w:r w:rsidR="00A30FE6">
        <w:t xml:space="preserve">difficoltoso </w:t>
      </w:r>
      <w:r>
        <w:t xml:space="preserve">attraverso le vie di drenaggio </w:t>
      </w:r>
      <w:r w:rsidR="00A30FE6">
        <w:t>(</w:t>
      </w:r>
      <w:r>
        <w:t>come avviene nel glaucoma ad angolo aperto</w:t>
      </w:r>
      <w:r w:rsidR="00A30FE6">
        <w:t>)</w:t>
      </w:r>
      <w:r>
        <w:t xml:space="preserve"> oppure per un ostacolo nella circolazione dell’umore acqueo, come per esempio nel glaucoma </w:t>
      </w:r>
      <w:r w:rsidR="00A30FE6">
        <w:t xml:space="preserve">ad angolo chiuso </w:t>
      </w:r>
      <w:r>
        <w:t>chiusura dell’angolo irido-corneale</w:t>
      </w:r>
      <w:r w:rsidR="00A30FE6">
        <w:t>)</w:t>
      </w:r>
      <w:r>
        <w:t xml:space="preserve">. Nella clinica sono rari i glaucomi </w:t>
      </w:r>
      <w:proofErr w:type="spellStart"/>
      <w:r>
        <w:t>iper</w:t>
      </w:r>
      <w:proofErr w:type="spellEnd"/>
      <w:r w:rsidR="00A30FE6">
        <w:t>-</w:t>
      </w:r>
      <w:r>
        <w:t xml:space="preserve">secretivi, ovvero legati ad una </w:t>
      </w:r>
      <w:proofErr w:type="spellStart"/>
      <w:r>
        <w:t>iper</w:t>
      </w:r>
      <w:proofErr w:type="spellEnd"/>
      <w:r w:rsidR="00A30FE6">
        <w:t>-</w:t>
      </w:r>
      <w:r>
        <w:t>produzione di umore acqueo.</w:t>
      </w:r>
    </w:p>
    <w:p w14:paraId="2E0AD6F7" w14:textId="76D5937E" w:rsidR="00D34A7F" w:rsidRDefault="00746A78" w:rsidP="00D34A7F">
      <w:r>
        <w:t>La</w:t>
      </w:r>
      <w:r w:rsidR="00D34A7F">
        <w:t xml:space="preserve"> legge di Pascal </w:t>
      </w:r>
      <w:r>
        <w:t>ci suggerisce</w:t>
      </w:r>
      <w:r w:rsidR="00D34A7F">
        <w:t xml:space="preserve"> che quando si verifica un aumento della pressione in un punto di un fluido confinato, tale aumento viene trasmesso ad ogni punto del fluido all'interno del contenitore con la stessa intensità e in </w:t>
      </w:r>
      <w:r>
        <w:t>maniera isotropa</w:t>
      </w:r>
      <w:r w:rsidR="00D34A7F">
        <w:t>.</w:t>
      </w:r>
      <w:r>
        <w:t xml:space="preserve"> </w:t>
      </w:r>
      <w:r w:rsidR="00D34A7F">
        <w:t>L'aumento della pressione intraoculare</w:t>
      </w:r>
      <w:r>
        <w:t>, dunque,</w:t>
      </w:r>
      <w:r w:rsidR="00D34A7F">
        <w:t xml:space="preserve"> </w:t>
      </w:r>
      <w:r>
        <w:t>determina</w:t>
      </w:r>
      <w:r w:rsidR="00D34A7F">
        <w:t xml:space="preserve"> una compressione</w:t>
      </w:r>
      <w:r>
        <w:t xml:space="preserve"> anche</w:t>
      </w:r>
      <w:r w:rsidR="00D34A7F">
        <w:t xml:space="preserve"> sulle fibre ganglionari</w:t>
      </w:r>
      <w:r>
        <w:t xml:space="preserve"> (ossia le strutture nervose </w:t>
      </w:r>
      <w:r w:rsidR="00D34A7F">
        <w:t>che collegano la retina al cervello tramite il nervo ottico</w:t>
      </w:r>
      <w:r>
        <w:t>)</w:t>
      </w:r>
      <w:r w:rsidR="00D34A7F">
        <w:t xml:space="preserve"> determinando un'interruzione del flusso asso</w:t>
      </w:r>
      <w:r>
        <w:t>-</w:t>
      </w:r>
      <w:r w:rsidR="00D34A7F">
        <w:t xml:space="preserve">plasmatico con morte della cellula ganglionare. Quando la pressione intraoculare supera la pressione di perfusione </w:t>
      </w:r>
      <w:proofErr w:type="spellStart"/>
      <w:r w:rsidR="00D34A7F">
        <w:t>endo</w:t>
      </w:r>
      <w:proofErr w:type="spellEnd"/>
      <w:r>
        <w:t>-</w:t>
      </w:r>
      <w:r w:rsidR="00D34A7F">
        <w:t xml:space="preserve">luminare arteriosa, e in determinate condizioni anatomiche favorenti, </w:t>
      </w:r>
      <w:r>
        <w:t xml:space="preserve">si instaura </w:t>
      </w:r>
      <w:r w:rsidR="00D34A7F">
        <w:t xml:space="preserve">anche un danno vascolare, quindi un deficit di perfusione a carico della papilla ottica, </w:t>
      </w:r>
      <w:r>
        <w:t xml:space="preserve">che </w:t>
      </w:r>
      <w:r w:rsidR="00D34A7F">
        <w:t>può indurre una progressiva atrofia della componente nervosa con progressione dell'</w:t>
      </w:r>
      <w:proofErr w:type="spellStart"/>
      <w:r w:rsidR="00D34A7F">
        <w:t>otticopatia</w:t>
      </w:r>
      <w:proofErr w:type="spellEnd"/>
      <w:r w:rsidR="00D34A7F">
        <w:t xml:space="preserve"> glaucomatosa</w:t>
      </w:r>
      <w:r w:rsidR="00D62CA7">
        <w:t xml:space="preserve"> </w:t>
      </w:r>
      <w:r w:rsidR="00D62CA7">
        <w:fldChar w:fldCharType="begin" w:fldLock="1"/>
      </w:r>
      <w:r w:rsidR="00F16DBD">
        <w:instrText>ADDIN CSL_CITATION {"citationItems":[{"id":"ITEM-1","itemData":{"DOI":"10.1016/j.survophthal.2007.08.012","ISSN":"00396257","PMID":"17998042","abstract":"Glaucomatous optic neuropathy implies loss of neural tissue, activation of glial cells, tissue remodeling, and change of blood flow. The blood flow reduction is not only secondary but has a primary component. Activation of astrocytes leads to an altered microenvironment. An unstable ocular perfusion, either due to IOP fluctuation or a disturbed autoregulation (due to primary vascular dysregulation syndrome) leads to a mild reperfusion injury. The superoxide (O2-) anion produced in the mitochondria of the axons, fuses with the nitric oxide (NO) diffusing from the astrocytes, leading to the damaging peroxynitrite (ONOO-). It is possible that the diffusion of endothelin and metalloproteinases to the surrounding of the optic nerve head leads to a local vasoconstriction and thereby increases the risk for venous occlusion and weakens the blood-brain barrier, which in extreme situations results in splinter hemorrhages. Activated retinal astrocytes can be visualized clinically. The involvement of primary vascular dysregulation in the pathogenesis of glaucomatous optic neuropathy may explain why women, as well as Japanese, suffer more often from normal-tension glaucoma. © 2007 Elsevier Inc. All rights reserved.","author":[{"dropping-particle":"","family":"Flammer","given":"J","non-dropping-particle":"","parse-names":false,"suffix":""},{"dropping-particle":"","family":"Mozaffarieh","given":"M","non-dropping-particle":"","parse-names":false,"suffix":""}],"container-title":"Survey of Ophthalmology","id":"ITEM-1","issue":"SUPPL.2","issued":{"date-parts":[["2007"]]},"page":"S162","title":"What Is the Present Pathogenetic Concept of Glaucomatous Optic Neuropathy?","type":"article-journal","volume":"52"},"uris":["http://www.mendeley.com/documents/?uuid=3df02619-0b0f-4881-8238-818ebe9b1b0e"]}],"mendeley":{"formattedCitation":"[24]","plainTextFormattedCitation":"[24]","previouslyFormattedCitation":"[24]"},"properties":{"noteIndex":0},"schema":"https://github.com/citation-style-language/schema/raw/master/csl-citation.json"}</w:instrText>
      </w:r>
      <w:r w:rsidR="00D62CA7">
        <w:fldChar w:fldCharType="separate"/>
      </w:r>
      <w:r w:rsidR="000C1330" w:rsidRPr="000C1330">
        <w:rPr>
          <w:noProof/>
        </w:rPr>
        <w:t>[24]</w:t>
      </w:r>
      <w:r w:rsidR="00D62CA7">
        <w:fldChar w:fldCharType="end"/>
      </w:r>
      <w:r w:rsidR="00D34A7F">
        <w:t xml:space="preserve">. </w:t>
      </w:r>
      <w:r w:rsidR="00934630">
        <w:t>In realtà q</w:t>
      </w:r>
      <w:r w:rsidR="00D34A7F">
        <w:t>uesta ipotesi patogenetica vascolare ha perso forza in quest’ultimo decennio.</w:t>
      </w:r>
    </w:p>
    <w:p w14:paraId="70E596B2" w14:textId="4CB3E2A3" w:rsidR="00D34A7F" w:rsidRDefault="00D34A7F" w:rsidP="00D34A7F">
      <w:r>
        <w:t>In entrambi i casi</w:t>
      </w:r>
      <w:r w:rsidR="00934630">
        <w:t>, comunque,</w:t>
      </w:r>
      <w:r>
        <w:t xml:space="preserve"> si </w:t>
      </w:r>
      <w:r w:rsidR="00086C12">
        <w:t>instaurano</w:t>
      </w:r>
      <w:r>
        <w:t xml:space="preserve"> due </w:t>
      </w:r>
      <w:r w:rsidR="00086C12">
        <w:t>meccanismi degenerativi</w:t>
      </w:r>
      <w:r>
        <w:t>: una degenerazione primaria che esita nell'apoptosi della cellula ganglionare indotta dall'aumento della pressione intraoculare o da insulti ipossici e ischemici, e una degenerazione secondaria indotta dall'azione tossica causata dalle molecole neurotossiche rilasciate dalle cellule ganglionari in via di degenerazione, come glutammato, radicali liberi, ossido nitrico ed enzimi.</w:t>
      </w:r>
    </w:p>
    <w:p w14:paraId="32D32A1E" w14:textId="77777777" w:rsidR="00D34A7F" w:rsidRDefault="00D34A7F" w:rsidP="00D34A7F"/>
    <w:p w14:paraId="6A0399B0" w14:textId="3066A369" w:rsidR="00D34A7F" w:rsidRPr="00724293" w:rsidRDefault="00D34A7F" w:rsidP="00D34A7F">
      <w:pPr>
        <w:rPr>
          <w:i/>
        </w:rPr>
      </w:pPr>
      <w:r w:rsidRPr="00724293">
        <w:rPr>
          <w:i/>
        </w:rPr>
        <w:t>Come diagnosticare il glaucoma</w:t>
      </w:r>
    </w:p>
    <w:p w14:paraId="580FC9CC" w14:textId="02093A4A" w:rsidR="00D34A7F" w:rsidRDefault="00D34A7F" w:rsidP="00D34A7F">
      <w:r>
        <w:t xml:space="preserve">La </w:t>
      </w:r>
      <w:r w:rsidR="00724293">
        <w:t>diagnosi</w:t>
      </w:r>
      <w:r>
        <w:t xml:space="preserve"> di glaucoma si basa sul rilevamento dei danni caratteristici del nervo ottico e dei </w:t>
      </w:r>
      <w:r w:rsidR="00724293">
        <w:t>corrispondenti</w:t>
      </w:r>
      <w:r>
        <w:t xml:space="preserve"> danni del campo visivo. Il riscontro di una pressione oculare elevata, non consente da sola una diagnosi di glaucoma.</w:t>
      </w:r>
      <w:r w:rsidR="00724293">
        <w:t xml:space="preserve"> </w:t>
      </w:r>
      <w:r>
        <w:t xml:space="preserve">Le indagini </w:t>
      </w:r>
      <w:r w:rsidR="00724293">
        <w:t>appropriate</w:t>
      </w:r>
      <w:r>
        <w:t xml:space="preserve"> per diagnosticare e seguire nel tempo il glaucoma sono, in primo luogo, </w:t>
      </w:r>
      <w:r>
        <w:lastRenderedPageBreak/>
        <w:t>un'attenta anamnesi e un completo esame clinico. L’anamnesi deve bene indagare i fattori di rischio, mentre l'esame clinico deve valutare il segmento anteriore, sede dell’idrodinamica dell’umore acqueo: la camera anteriore, l'angolo irido-corneale (</w:t>
      </w:r>
      <w:r w:rsidR="00BA6C45">
        <w:t xml:space="preserve">mediante la tecnica della </w:t>
      </w:r>
      <w:proofErr w:type="spellStart"/>
      <w:r>
        <w:t>gonioscopia</w:t>
      </w:r>
      <w:proofErr w:type="spellEnd"/>
      <w:r w:rsidR="00D62CA7" w:rsidRPr="00611E14">
        <w:rPr>
          <w:rStyle w:val="Rimandonotaapidipagina"/>
        </w:rPr>
        <w:footnoteReference w:id="3"/>
      </w:r>
      <w:r w:rsidR="00D62CA7">
        <w:t xml:space="preserve"> </w:t>
      </w:r>
      <w:r w:rsidR="00D62CA7">
        <w:fldChar w:fldCharType="begin" w:fldLock="1"/>
      </w:r>
      <w:r w:rsidR="00F16DBD">
        <w:instrText>ADDIN CSL_CITATION {"citationItems":[{"id":"ITEM-1","itemData":{"DOI":"10.1119/1.4905811","author":[{"dropping-particle":"","family":"Colicchia","given":"G","non-dropping-particle":"","parse-names":false,"suffix":""},{"dropping-particle":"","family":"Wiesner","given":"H","non-dropping-particle":"","parse-names":false,"suffix":""}],"container-title":"The Physics Teacher","id":"ITEM-1","issue":"January","issued":{"date-parts":[["2015"]]},"page":"106-108","title":"Looking into the Eye with a Smartphone","type":"article-journal","volume":"53"},"uris":["http://www.mendeley.com/documents/?uuid=b9a4846d-b23b-4df4-8c2d-d1fce4577eaf"]}],"mendeley":{"formattedCitation":"[25]","plainTextFormattedCitation":"[25]","previouslyFormattedCitation":"[25]"},"properties":{"noteIndex":0},"schema":"https://github.com/citation-style-language/schema/raw/master/csl-citation.json"}</w:instrText>
      </w:r>
      <w:r w:rsidR="00D62CA7">
        <w:fldChar w:fldCharType="separate"/>
      </w:r>
      <w:r w:rsidR="000C1330" w:rsidRPr="000C1330">
        <w:rPr>
          <w:noProof/>
        </w:rPr>
        <w:t>[25]</w:t>
      </w:r>
      <w:r w:rsidR="00D62CA7">
        <w:fldChar w:fldCharType="end"/>
      </w:r>
      <w:r>
        <w:t xml:space="preserve">), il fondo oculare con particolare riguardo alla papilla ottica sede dei </w:t>
      </w:r>
      <w:r w:rsidR="00BA6C45">
        <w:t>d</w:t>
      </w:r>
      <w:r>
        <w:t xml:space="preserve">anni morfologici glaucomatosi. Imprescindibili sono gli esami strumentali, come l’esame </w:t>
      </w:r>
      <w:r w:rsidR="00BA6C45">
        <w:t>computerizzato</w:t>
      </w:r>
      <w:r>
        <w:t xml:space="preserve"> del campo </w:t>
      </w:r>
      <w:r w:rsidR="00BA6C45">
        <w:t>visivo</w:t>
      </w:r>
      <w:r>
        <w:t xml:space="preserve"> per lo studio della funzione del nervo ottico, le diverse tecniche di </w:t>
      </w:r>
      <w:r w:rsidRPr="00C74240">
        <w:rPr>
          <w:i/>
          <w:iCs/>
        </w:rPr>
        <w:t>imaging</w:t>
      </w:r>
      <w:r>
        <w:t xml:space="preserve"> del nervo ottico</w:t>
      </w:r>
      <w:r w:rsidR="00BA6C45">
        <w:t>,</w:t>
      </w:r>
      <w:r>
        <w:t xml:space="preserve"> come la tomografia a coerenza ottica </w:t>
      </w:r>
      <w:r w:rsidR="00B23CC1">
        <w:t>(</w:t>
      </w:r>
      <w:r>
        <w:t>OCT</w:t>
      </w:r>
      <w:r w:rsidR="00B23CC1">
        <w:t>)</w:t>
      </w:r>
      <w:r w:rsidR="00D62CA7">
        <w:t xml:space="preserve"> </w:t>
      </w:r>
      <w:r w:rsidR="00D62CA7">
        <w:fldChar w:fldCharType="begin" w:fldLock="1"/>
      </w:r>
      <w:r w:rsidR="00F16DBD">
        <w:instrText>ADDIN CSL_CITATION {"citationItems":[{"id":"ITEM-1","itemData":{"DOI":"10.1119/10.0001755","ISSN":"0002-9505","abstract":"Optical coherence tomography, or in short OCT, is a measurement technique established in the early 1990s for the non-invasive imaging of interfaces in the bulk of biological tissues or other samples. A full-field OCT setup is built from a microscope combined with a Michelson interferometer, where the mirror in one arm is replaced by the sample. Using white light, which is temporally partially coherent, interference fringes disclose the presence of an interface whenever the lengths of both interferometer arms are nearly equal. Scanning one arm allows for a volumetric reconstruction of all interfaces inside the sample. While the importance of OCT in medicine is indisputable, it is hard to teach students the basic aspects of such technology as most available setups tend to be rather complex. It is our purpose to present a fully functional full-field OCT setup that is stripped-down to its essential components and to promote its use in an undergraduate lab course. The contribution is complemented by a description of the basic theory necessary to understand the working principle of OCT.","author":[{"dropping-particle":"","family":"Pieper","given":"Kai","non-dropping-particle":"","parse-names":false,"suffix":""},{"dropping-particle":"","family":"Latour","given":"Gaël","non-dropping-particle":"","parse-names":false,"suffix":""},{"dropping-particle":"","family":"Küchenmeister","given":"Jens","non-dropping-particle":"","parse-names":false,"suffix":""},{"dropping-particle":"","family":"Bergmann","given":"Antje","non-dropping-particle":"","parse-names":false,"suffix":""},{"dropping-particle":"","family":"Dengler","given":"Roman","non-dropping-particle":"","parse-names":false,"suffix":""},{"dropping-particle":"","family":"Rockstuhl","given":"Carsten","non-dropping-particle":"","parse-names":false,"suffix":""}],"container-title":"American Journal of Physics","id":"ITEM-1","issue":"12","issued":{"date-parts":[["2020"]]},"page":"1132-1139","publisher":"American Association of Physics Teachers","title":"Full-field optical coherence tomography—An educational setup for an undergraduate lab","type":"article-journal","volume":"88"},"uris":["http://www.mendeley.com/documents/?uuid=712dc3d9-cd4a-4b0b-90ce-ba3bfbe6eac8"]}],"mendeley":{"formattedCitation":"[26]","plainTextFormattedCitation":"[26]","previouslyFormattedCitation":"[26]"},"properties":{"noteIndex":0},"schema":"https://github.com/citation-style-language/schema/raw/master/csl-citation.json"}</w:instrText>
      </w:r>
      <w:r w:rsidR="00D62CA7">
        <w:fldChar w:fldCharType="separate"/>
      </w:r>
      <w:r w:rsidR="000C1330" w:rsidRPr="000C1330">
        <w:rPr>
          <w:noProof/>
        </w:rPr>
        <w:t>[26]</w:t>
      </w:r>
      <w:r w:rsidR="00D62CA7">
        <w:fldChar w:fldCharType="end"/>
      </w:r>
      <w:r w:rsidR="00B23CC1">
        <w:t>,</w:t>
      </w:r>
      <w:r>
        <w:t xml:space="preserve"> che consentono una analisi anatomica computerizzata del nervo ottico e dello strato delle fibre nervose, e recentemente anche l’analisi del flusso sanguigno a livello della testa del nervo ottico grazie all’</w:t>
      </w:r>
      <w:proofErr w:type="spellStart"/>
      <w:r>
        <w:t>angio</w:t>
      </w:r>
      <w:proofErr w:type="spellEnd"/>
      <w:r w:rsidR="00BA6C45">
        <w:t>-</w:t>
      </w:r>
      <w:r>
        <w:t xml:space="preserve">OCT,  </w:t>
      </w:r>
      <w:r w:rsidR="00E2648E">
        <w:t>nonché</w:t>
      </w:r>
      <w:r>
        <w:t xml:space="preserve"> la misurazione della pressione intraoculare con la to</w:t>
      </w:r>
      <w:r w:rsidR="00BA6C45">
        <w:t>no</w:t>
      </w:r>
      <w:r>
        <w:t>m</w:t>
      </w:r>
      <w:r w:rsidR="00BA6C45">
        <w:t>e</w:t>
      </w:r>
      <w:r>
        <w:t>tria</w:t>
      </w:r>
      <w:r w:rsidR="00D62CA7">
        <w:t xml:space="preserve"> </w:t>
      </w:r>
      <w:r w:rsidR="00D62CA7">
        <w:fldChar w:fldCharType="begin" w:fldLock="1"/>
      </w:r>
      <w:r w:rsidR="00F16DBD">
        <w:instrText>ADDIN CSL_CITATION {"citationItems":[{"id":"ITEM-1","itemData":{"DOI":"10.1136/bjo.2007.135012","ISSN":"00071161","PMID":"18211935","abstract":"To date, there has been a lack of evidence-based guidance on the frequency of visual field examinations required to identify clinically meaningful rates of change in glaucoma. The objective of this perspective is to provide practical recommendations for this purpose. The primary emphasis is on the period of time and number of examinations required to measure various rates of change in mean deviation (MD) with adequate statistical power. Empirical data were used to obtain variability estimates of MD while statistical modelling techniques derived the required time periods to detect change with various degrees of visual field variability. We provide the frequency of examinations per year required to detect different amounts of change in 2, 3 and 5 years. For instance, three examinations per year are required to identify an overall change in MD of 4 dB over 2 years in a patient with average visual field variability. Recommendations on other issues such as examination type, strategy and quality are also made.","author":[{"dropping-particle":"","family":"Chauhan","given":"B C","non-dropping-particle":"","parse-names":false,"suffix":""},{"dropping-particle":"","family":"Garway-Heath","given":"D F","non-dropping-particle":"","parse-names":false,"suffix":""},{"dropping-particle":"","family":"Goñi","given":"F J","non-dropping-particle":"","parse-names":false,"suffix":""},{"dropping-particle":"","family":"Rossetti","given":"L","non-dropping-particle":"","parse-names":false,"suffix":""},{"dropping-particle":"","family":"Bengtsson","given":"B","non-dropping-particle":"","parse-names":false,"suffix":""},{"dropping-particle":"","family":"Viswanathan","given":"A C","non-dropping-particle":"","parse-names":false,"suffix":""},{"dropping-particle":"","family":"Heijl","given":"A","non-dropping-particle":"","parse-names":false,"suffix":""}],"container-title":"British Journal of Ophthalmology","id":"ITEM-1","issue":"4","issued":{"date-parts":[["2008"]]},"page":"569-573","title":"Practical recommendations for measuring rates of visual field change in glaucoma","type":"article-journal","volume":"92"},"uris":["http://www.mendeley.com/documents/?uuid=06b1779a-1b4b-4138-8630-8d40c2ee92e2"]}],"mendeley":{"formattedCitation":"[27]","plainTextFormattedCitation":"[27]","previouslyFormattedCitation":"[27]"},"properties":{"noteIndex":0},"schema":"https://github.com/citation-style-language/schema/raw/master/csl-citation.json"}</w:instrText>
      </w:r>
      <w:r w:rsidR="00D62CA7">
        <w:fldChar w:fldCharType="separate"/>
      </w:r>
      <w:r w:rsidR="000C1330" w:rsidRPr="000C1330">
        <w:rPr>
          <w:noProof/>
        </w:rPr>
        <w:t>[27]</w:t>
      </w:r>
      <w:r w:rsidR="00D62CA7">
        <w:fldChar w:fldCharType="end"/>
      </w:r>
      <w:r w:rsidR="007B7074">
        <w:t>, consistente nella determinazione della pressione endooculare</w:t>
      </w:r>
      <w:r w:rsidR="00BE00F3">
        <w:t>.</w:t>
      </w:r>
      <w:r w:rsidR="007B7074">
        <w:t xml:space="preserve"> Quest’ultima tecnica è particolarmente importante per la contestualizzazione del percorso di apprendimento qui proposto, in quanto uno degli esperimenti sviluppati (vedere sezione 4) è volto ad esplorare il principio sul quale sono basate le tecniche </w:t>
      </w:r>
      <w:proofErr w:type="spellStart"/>
      <w:r w:rsidR="007B7074">
        <w:t>tonometriche</w:t>
      </w:r>
      <w:proofErr w:type="spellEnd"/>
      <w:r w:rsidR="007B7074">
        <w:t>: la relazione quantitativa tra le deformabilità locale di una sfera semirigida riempita d’acqua e la pressione al suo interno.</w:t>
      </w:r>
    </w:p>
    <w:p w14:paraId="70BD8673" w14:textId="77777777" w:rsidR="00D34A7F" w:rsidRDefault="00D34A7F" w:rsidP="00D34A7F"/>
    <w:p w14:paraId="31DBE6D5" w14:textId="6C97B5E7" w:rsidR="00D34A7F" w:rsidRPr="007B7074" w:rsidRDefault="00D34A7F" w:rsidP="00D34A7F">
      <w:pPr>
        <w:rPr>
          <w:i/>
        </w:rPr>
      </w:pPr>
      <w:r w:rsidRPr="007B7074">
        <w:rPr>
          <w:i/>
        </w:rPr>
        <w:t>Come e quando curare il glaucoma</w:t>
      </w:r>
    </w:p>
    <w:p w14:paraId="38F81269" w14:textId="342D4C55" w:rsidR="00D34A7F" w:rsidRDefault="00D34A7F" w:rsidP="00D34A7F">
      <w:r>
        <w:t xml:space="preserve">Il target terapeutico del glaucoma è quello di mantenere la qualità di vita del paziente preservando la capacità visiva residua, e quindi contrastare il decadimento visivo caratteristico della malattia glaucomatosa. A oggi la medicina dispone di strumenti farmacologici </w:t>
      </w:r>
      <w:proofErr w:type="spellStart"/>
      <w:r>
        <w:t>ipotonizzanti</w:t>
      </w:r>
      <w:proofErr w:type="spellEnd"/>
      <w:r>
        <w:t xml:space="preserve"> e</w:t>
      </w:r>
      <w:r w:rsidR="007B7074">
        <w:t xml:space="preserve"> di strumenti</w:t>
      </w:r>
      <w:r>
        <w:t xml:space="preserve"> chirurgici, ma la diagnosi precoce rimane un fattore chiave per la salute dei pazienti affetti da glaucoma</w:t>
      </w:r>
      <w:r w:rsidR="007B7074">
        <w:t xml:space="preserve">. Auspichiamo quindi che la diffusione del presente lavoro in ambito educativo possa contribuire a sviluppare la sensibilità sociale in ordine alla prevenzione di questo disturbo, tanto devastante quanto subdolo nell’esordio. </w:t>
      </w:r>
    </w:p>
    <w:p w14:paraId="48D61DAA" w14:textId="77777777" w:rsidR="000D057F" w:rsidRDefault="000D057F" w:rsidP="00D34A7F"/>
    <w:p w14:paraId="5CA52573" w14:textId="77777777" w:rsidR="00BF2ECB" w:rsidRPr="00F16DBD" w:rsidRDefault="00BF2ECB" w:rsidP="00BF2ECB">
      <w:pPr>
        <w:pBdr>
          <w:top w:val="nil"/>
          <w:left w:val="nil"/>
          <w:bottom w:val="nil"/>
          <w:right w:val="nil"/>
          <w:between w:val="nil"/>
        </w:pBdr>
        <w:spacing w:before="240" w:after="120"/>
        <w:rPr>
          <w:rFonts w:eastAsia="Times New Roman"/>
          <w:b/>
          <w:color w:val="000000" w:themeColor="text1"/>
          <w:sz w:val="24"/>
          <w:szCs w:val="24"/>
        </w:rPr>
      </w:pPr>
      <w:r w:rsidRPr="00F16DBD">
        <w:rPr>
          <w:rFonts w:eastAsia="Times New Roman"/>
          <w:b/>
          <w:color w:val="000000" w:themeColor="text1"/>
          <w:sz w:val="24"/>
          <w:szCs w:val="24"/>
        </w:rPr>
        <w:t xml:space="preserve">4. Apparato </w:t>
      </w:r>
      <w:r w:rsidRPr="00F16DBD">
        <w:rPr>
          <w:b/>
          <w:color w:val="000000" w:themeColor="text1"/>
          <w:sz w:val="24"/>
          <w:szCs w:val="24"/>
        </w:rPr>
        <w:t>sperimentale</w:t>
      </w:r>
      <w:r w:rsidRPr="00F16DBD">
        <w:rPr>
          <w:rFonts w:eastAsia="Times New Roman"/>
          <w:b/>
          <w:color w:val="000000" w:themeColor="text1"/>
          <w:sz w:val="24"/>
          <w:szCs w:val="24"/>
        </w:rPr>
        <w:t xml:space="preserve"> ed esempi</w:t>
      </w:r>
    </w:p>
    <w:p w14:paraId="469A9E98" w14:textId="77777777" w:rsidR="00BF2ECB" w:rsidRPr="00F16DBD" w:rsidRDefault="00BF2ECB" w:rsidP="00BF2ECB">
      <w:pPr>
        <w:rPr>
          <w:color w:val="000000" w:themeColor="text1"/>
        </w:rPr>
      </w:pPr>
      <w:r w:rsidRPr="00F16DBD">
        <w:rPr>
          <w:color w:val="000000" w:themeColor="text1"/>
        </w:rPr>
        <w:t xml:space="preserve">In questa sezione vengono descritti i due dispositivi sperimentali appositamente sviluppati e costruiti per la fase di attività laboratoriale contestualizzata sulla tonometria del globo oculare. </w:t>
      </w:r>
    </w:p>
    <w:p w14:paraId="34C303B0" w14:textId="5FDC3B9F" w:rsidR="00BF2ECB" w:rsidRPr="00F16DBD" w:rsidRDefault="00BF2ECB" w:rsidP="00BF2ECB">
      <w:pPr>
        <w:rPr>
          <w:color w:val="000000" w:themeColor="text1"/>
        </w:rPr>
      </w:pPr>
      <w:r w:rsidRPr="00F16DBD">
        <w:rPr>
          <w:color w:val="000000" w:themeColor="text1"/>
        </w:rPr>
        <w:t>Come abbiamo visto nella sezione 3, uno dei principali elementi diagnostici per la prevenzione dei danni irreversibili da glaucoma è il monitoraggio regolare della pressione intraoculare. Tale misurazione viene effettuata mediante dispositivi detti tonometri, dei quali esistono diverse varianti tecnologiche</w:t>
      </w:r>
      <w:r w:rsidR="00F16DBD" w:rsidRPr="00F16DBD">
        <w:rPr>
          <w:color w:val="000000" w:themeColor="text1"/>
        </w:rPr>
        <w:t xml:space="preserve"> </w:t>
      </w:r>
      <w:r w:rsidR="00F16DBD" w:rsidRPr="00F16DBD">
        <w:rPr>
          <w:color w:val="000000" w:themeColor="text1"/>
        </w:rPr>
        <w:fldChar w:fldCharType="begin" w:fldLock="1"/>
      </w:r>
      <w:r w:rsidR="00E2648E">
        <w:rPr>
          <w:color w:val="000000" w:themeColor="text1"/>
        </w:rPr>
        <w:instrText>ADDIN CSL_CITATION {"citationItems":[{"id":"ITEM-1","itemData":{"DOI":"10.5772/37393","author":[{"dropping-particle":"","family":"Kirstein","given":"E M","non-dropping-particle":"","parse-names":false,"suffix":""},{"dropping-particle":"","family":"Elsheikh","given":"A","non-dropping-particle":"","parse-names":false,"suffix":""},{"dropping-particle":"","family":"Gunvant","given":"P","non-dropping-particle":"","parse-names":false,"suffix":""}],"container-title":"InTech","id":"ITEM-1","issued":{"date-parts":[["2011"]]},"title":"Tonometry – Past, Present and Future","type":"article-journal"},"uris":["http://www.mendeley.com/documents/?uuid=623fe18e-de0d-42b1-9ab9-79bf2f2c6cd4"]},{"id":"ITEM-2","itemData":{"DOI":"10.1016/j.survophthal.2009.04.006","ISSN":"00396257","PMID":"19539833","abstract":"Glaucoma is the leading cause of irreversible blindness in the world. Diagnosis and management of glaucoma is significantly associated with intraocular pressure, but contemporary office-based measurements are not sufficient to discover diurnal changes and spikes, nor do they demonstrate the effect of medication and compliance. Patient-directed self-tonometry can be taken throughout the day and is therefore the subject of much discussion and research. In this article we review the history of self-tonometry devices and present technologies for the future. © 2009 Elsevier Inc. All rights reserved.","author":[{"dropping-particle":"","family":"Liang","given":"Steve Y W","non-dropping-particle":"","parse-names":false,"suffix":""},{"dropping-particle":"","family":"Lee","given":"G A","non-dropping-particle":"","parse-names":false,"suffix":""},{"dropping-particle":"","family":"Shields","given":"D","non-dropping-particle":"","parse-names":false,"suffix":""}],"container-title":"Survey of Ophthalmology","id":"ITEM-2","issue":"4","issued":{"date-parts":[["2009"]]},"page":"450-462","title":"Self-tonometry in Glaucoma Management-Past, Present and Future","type":"article-journal","volume":"54"},"uris":["http://www.mendeley.com/documents/?uuid=6a071032-c525-4474-a14b-ba2a3d7f075f"]}],"mendeley":{"formattedCitation":"[28], [29]","manualFormatting":"[28,29]","plainTextFormattedCitation":"[28], [29]","previouslyFormattedCitation":"[28], [29]"},"properties":{"noteIndex":0},"schema":"https://github.com/citation-style-language/schema/raw/master/csl-citation.json"}</w:instrText>
      </w:r>
      <w:r w:rsidR="00F16DBD" w:rsidRPr="00F16DBD">
        <w:rPr>
          <w:color w:val="000000" w:themeColor="text1"/>
        </w:rPr>
        <w:fldChar w:fldCharType="separate"/>
      </w:r>
      <w:r w:rsidR="00F16DBD" w:rsidRPr="00F16DBD">
        <w:rPr>
          <w:noProof/>
          <w:color w:val="000000" w:themeColor="text1"/>
        </w:rPr>
        <w:t>[28,29]</w:t>
      </w:r>
      <w:r w:rsidR="00F16DBD" w:rsidRPr="00F16DBD">
        <w:rPr>
          <w:color w:val="000000" w:themeColor="text1"/>
        </w:rPr>
        <w:fldChar w:fldCharType="end"/>
      </w:r>
      <w:r w:rsidRPr="00F16DBD">
        <w:rPr>
          <w:color w:val="000000" w:themeColor="text1"/>
        </w:rPr>
        <w:t xml:space="preserve">, tutte basate sulla relazione tra deformabilità meccanica cornea e pressione all’interno del globo oculare. Tale relazione è concettualmente analoga a quella osservabile qualitativamente per la deformazione di una gomma di automobile: la parte a contatto col suolo è tanto più appiattita quanto minore è la pressione all’interno della gomma stessa. Il primo dei dispositivi sperimentali realizzati e testati (da qui in avanti </w:t>
      </w:r>
      <w:r w:rsidRPr="00F16DBD">
        <w:rPr>
          <w:i/>
          <w:color w:val="000000" w:themeColor="text1"/>
        </w:rPr>
        <w:t>dispositivo-1</w:t>
      </w:r>
      <w:r w:rsidRPr="00F16DBD">
        <w:rPr>
          <w:color w:val="000000" w:themeColor="text1"/>
        </w:rPr>
        <w:t xml:space="preserve">) è </w:t>
      </w:r>
      <w:r w:rsidRPr="00F16DBD">
        <w:rPr>
          <w:color w:val="000000" w:themeColor="text1"/>
        </w:rPr>
        <w:lastRenderedPageBreak/>
        <w:t>finalizzato a permettere l’esplorazione quantitativa della relazione deformabilità/pressione per un modello schematico di globo oculare.</w:t>
      </w:r>
    </w:p>
    <w:p w14:paraId="387141F1" w14:textId="77777777" w:rsidR="00BF2ECB" w:rsidRPr="00F16DBD" w:rsidRDefault="00BF2ECB" w:rsidP="00BF2ECB">
      <w:pPr>
        <w:rPr>
          <w:color w:val="000000" w:themeColor="text1"/>
        </w:rPr>
      </w:pPr>
      <w:r w:rsidRPr="00F16DBD">
        <w:rPr>
          <w:color w:val="000000" w:themeColor="text1"/>
        </w:rPr>
        <w:t>L’altro dispositivo sperimentale (</w:t>
      </w:r>
      <w:r w:rsidRPr="00F16DBD">
        <w:rPr>
          <w:i/>
          <w:color w:val="000000" w:themeColor="text1"/>
        </w:rPr>
        <w:t>dispositivo-2</w:t>
      </w:r>
      <w:r w:rsidRPr="00F16DBD">
        <w:rPr>
          <w:color w:val="000000" w:themeColor="text1"/>
        </w:rPr>
        <w:t xml:space="preserve">) è finalizzato a esplorare in maniera semi-quantitativa i motivi per cui l’elevata pressione endoculare tende ad ostacolare la corretta perfusione sanguigna delle strutture deputate alla visione, con particolare riferimento alla papilla ottica (paragrafo </w:t>
      </w:r>
      <w:r w:rsidRPr="00F16DBD">
        <w:rPr>
          <w:i/>
          <w:color w:val="000000" w:themeColor="text1"/>
        </w:rPr>
        <w:t>Fisiopatologia</w:t>
      </w:r>
      <w:r w:rsidRPr="00F16DBD">
        <w:rPr>
          <w:color w:val="000000" w:themeColor="text1"/>
        </w:rPr>
        <w:t xml:space="preserve"> della sezione 3).</w:t>
      </w:r>
    </w:p>
    <w:p w14:paraId="6BFB8D92" w14:textId="1EB9858C" w:rsidR="00BF2ECB" w:rsidRPr="00F16DBD" w:rsidRDefault="00BF2ECB" w:rsidP="00BF2ECB">
      <w:pPr>
        <w:rPr>
          <w:color w:val="000000" w:themeColor="text1"/>
        </w:rPr>
      </w:pPr>
      <w:r w:rsidRPr="00F16DBD">
        <w:rPr>
          <w:color w:val="000000" w:themeColor="text1"/>
        </w:rPr>
        <w:t>Entrambi i dispositivi coinvolgono le principali leggi fisiche della statica dei fluidi, prime tra tutte quelle di Pascal e di Stevino, permettendo così di affrontare la tematica in un contesto autentico e significativo. Peraltro, la specifica contestualizzazione biomedica della tematica fisica, oltre a enfatizzare l’interdisciplinarietà, conferisce all’attività di apprendimento anche una valenza di educazione sanitaria e, più in generale, di educazione civica scientifica</w:t>
      </w:r>
      <w:r w:rsidR="00F16DBD" w:rsidRPr="00F16DBD">
        <w:rPr>
          <w:color w:val="000000" w:themeColor="text1"/>
        </w:rPr>
        <w:t xml:space="preserve"> </w:t>
      </w:r>
      <w:r w:rsidR="00F16DBD" w:rsidRPr="00F16DBD">
        <w:rPr>
          <w:color w:val="000000" w:themeColor="text1"/>
        </w:rPr>
        <w:fldChar w:fldCharType="begin" w:fldLock="1"/>
      </w:r>
      <w:r w:rsidR="00E2648E">
        <w:rPr>
          <w:color w:val="000000" w:themeColor="text1"/>
        </w:rPr>
        <w:instrText>ADDIN CSL_CITATION {"citationItems":[{"id":"ITEM-1","itemData":{"author":[{"dropping-particle":"","family":"Sapia","given":"P","non-dropping-particle":"","parse-names":false,"suffix":""}],"container-title":"L’Eco della Scuola Nuova","id":"ITEM-1","issue":"3","issued":{"date-parts":[["2019"]]},"page":"12-14","title":"Educazione civica e alfabetizzazione scientifica","type":"article-journal","volume":"LXXIV"},"uris":["http://www.mendeley.com/documents/?uuid=80d828d3-a51e-4ebe-b4e6-69c47055857d"]},{"id":"ITEM-2","itemData":{"author":[{"dropping-particle":"","family":"Roth","given":"W M","non-dropping-particle":"","parse-names":false,"suffix":""},{"dropping-particle":"","family":"Désautels","given":"J","non-dropping-particle":"","parse-names":false,"suffix":""}],"container-title":"Canadian Journal of Science, Mathematics and Technology Education","id":"ITEM-2","issue":"2","issued":{"date-parts":[["2004"]]},"page":"149","title":"Educating for citizenship : Reappraising the role of science education","type":"article-journal","volume":"4"},"uris":["http://www.mendeley.com/documents/?uuid=8e76b5e8-1284-4599-be8f-c0146e96cfeb"]},{"id":"ITEM-3","itemData":{"DOI":"10.1016/j.sbspro.2012.09.253","ISBN":"6038925481","ISSN":"18770428","abstract":"To overcome the challenges of the twenty first century in science and technology sector, students need to be equipped with the 21 st century skills to ensure their competitiveness in the globalization era. They are expected to master the 21 st century skills apart of just being excelled in their academic performance. Therefore, it is crucial to incorporate 21 st century skills in science education. 21 st century skills comprised of four main domains namely digital age literacy, inventive thinking, effective communication and high productivity. Scientific literacy is one of the skills required in digital age literacy. It means knowledge and understanding of the scientific concepts and processes required for personal decision-making, participation in civic and cultural affairs, and economic productivity. Scientific literacy is important in our modern society since they are many issues related to science and technology. Basic science process skills include observing, classifying, measuring and using numbers, making inferences, predicting, communicating and using the relations of space and time. While the integrated science process skills consist of interpreting data, operational definition, control variables, make hypotheses and experimenting. Science students have been cultivated by scientific literacy and science process skills through science classes. With these two skills, it is hoped that the science students have developed some skills needed in 21 st century skills. This paper will further explain about the 21 st century skills, scientific literacy and science process skills. It also explains about the intersection of science process skills and 21 st century skills in science education.","author":[{"dropping-particle":"","family":"Turiman","given":"P","non-dropping-particle":"","parse-names":false,"suffix":""},{"dropping-particle":"","family":"Omar","given":"J","non-dropping-particle":"","parse-names":false,"suffix":""},{"dropping-particle":"","family":"Daud","given":"A M","non-dropping-particle":"","parse-names":false,"suffix":""},{"dropping-particle":"","family":"Osman","given":"K","non-dropping-particle":"","parse-names":false,"suffix":""}],"container-title":"Procedia - Social and Behavioral Sciences","id":"ITEM-3","issued":{"date-parts":[["2012"]]},"page":"110-116","title":"Fostering the 21st Century Skills through Scientific Literacy and Science Process Skills","type":"article-journal","volume":"59"},"uris":["http://www.mendeley.com/documents/?uuid=aeb8dfae-79c0-424b-a5e2-d5f9421d0eea"]}],"mendeley":{"formattedCitation":"[30]–[32]","manualFormatting":"[30–32]","plainTextFormattedCitation":"[30]–[32]","previouslyFormattedCitation":"[30]–[32]"},"properties":{"noteIndex":0},"schema":"https://github.com/citation-style-language/schema/raw/master/csl-citation.json"}</w:instrText>
      </w:r>
      <w:r w:rsidR="00F16DBD" w:rsidRPr="00F16DBD">
        <w:rPr>
          <w:color w:val="000000" w:themeColor="text1"/>
        </w:rPr>
        <w:fldChar w:fldCharType="separate"/>
      </w:r>
      <w:r w:rsidR="00F16DBD" w:rsidRPr="00F16DBD">
        <w:rPr>
          <w:noProof/>
          <w:color w:val="000000" w:themeColor="text1"/>
        </w:rPr>
        <w:t>[30–32]</w:t>
      </w:r>
      <w:r w:rsidR="00F16DBD" w:rsidRPr="00F16DBD">
        <w:rPr>
          <w:color w:val="000000" w:themeColor="text1"/>
        </w:rPr>
        <w:fldChar w:fldCharType="end"/>
      </w:r>
      <w:r w:rsidR="00F16DBD" w:rsidRPr="00F16DBD">
        <w:rPr>
          <w:color w:val="000000" w:themeColor="text1"/>
        </w:rPr>
        <w:t>.</w:t>
      </w:r>
    </w:p>
    <w:p w14:paraId="2C72FDC5" w14:textId="7DACC8CD" w:rsidR="00BF2ECB" w:rsidRPr="00F16DBD" w:rsidRDefault="00BF2ECB" w:rsidP="00BF2ECB">
      <w:pPr>
        <w:rPr>
          <w:color w:val="000000" w:themeColor="text1"/>
        </w:rPr>
      </w:pPr>
      <w:r w:rsidRPr="00F16DBD">
        <w:rPr>
          <w:color w:val="000000" w:themeColor="text1"/>
        </w:rPr>
        <w:t xml:space="preserve">La semplicità dei materiali utilizzati per la costruzione dei dispositivi, ricercati fra oggetti appartenenti alla vita di tutti i giorni, rende tali dispositivi </w:t>
      </w:r>
      <w:r w:rsidRPr="00F16DBD">
        <w:rPr>
          <w:i/>
          <w:color w:val="000000" w:themeColor="text1"/>
        </w:rPr>
        <w:t>user-</w:t>
      </w:r>
      <w:proofErr w:type="spellStart"/>
      <w:r w:rsidRPr="00F16DBD">
        <w:rPr>
          <w:i/>
          <w:color w:val="000000" w:themeColor="text1"/>
        </w:rPr>
        <w:t>friendly</w:t>
      </w:r>
      <w:proofErr w:type="spellEnd"/>
      <w:r w:rsidRPr="00F16DBD">
        <w:rPr>
          <w:color w:val="000000" w:themeColor="text1"/>
        </w:rPr>
        <w:t xml:space="preserve"> per gli studenti, consentendo di stimolarne l'operatività e l’interesse, facendo leva sull’aspetto ludico e producendo quel coinvolgimento personale che gioca un ruolo importante nell'apprendimento, soprattutto delle discipline scientifiche</w:t>
      </w:r>
      <w:r w:rsidR="00F16DBD" w:rsidRPr="00F16DBD">
        <w:rPr>
          <w:color w:val="000000" w:themeColor="text1"/>
        </w:rPr>
        <w:t xml:space="preserve"> </w:t>
      </w:r>
      <w:r w:rsidR="00F16DBD" w:rsidRPr="00F16DBD">
        <w:rPr>
          <w:color w:val="000000" w:themeColor="text1"/>
        </w:rPr>
        <w:fldChar w:fldCharType="begin" w:fldLock="1"/>
      </w:r>
      <w:r w:rsidR="00F16DBD" w:rsidRPr="00F16DBD">
        <w:rPr>
          <w:color w:val="000000" w:themeColor="text1"/>
        </w:rPr>
        <w:instrText>ADDIN CSL_CITATION {"citationItems":[{"id":"ITEM-1","itemData":{"author":[{"dropping-particle":"","family":"Bosatta","given":"G","non-dropping-particle":"","parse-names":false,"suffix":""},{"dropping-particle":"","family":"Bosia","given":"M","non-dropping-particle":"","parse-names":false,"suffix":""},{"dropping-particle":"","family":"Bosio","given":"S","non-dropping-particle":"","parse-names":false,"suffix":""},{"dropping-particle":"","family":"Candussio","given":"G","non-dropping-particle":"","parse-names":false,"suffix":""},{"dropping-particle":"","family":"Capocchiani","given":"V","non-dropping-particle":"","parse-names":false,"suffix":""},{"dropping-particle":"","family":"Ceccolin","given":"D","non-dropping-particle":"","parse-names":false,"suffix":""},{"dropping-particle":"","family":"Zorzi","given":"P","non-dropping-particle":"de","parse-names":false,"suffix":""},{"dropping-particle":"","family":"Marcolini","given":"L.","non-dropping-particle":"","parse-names":false,"suffix":""},{"dropping-particle":"","family":"Mazzadi","given":"M C","non-dropping-particle":"","parse-names":false,"suffix":""},{"dropping-particle":"","family":"Michelini","given":"M","non-dropping-particle":"","parse-names":false,"suffix":""},{"dropping-particle":"","family":"Michelutti","given":"G L","non-dropping-particle":"","parse-names":false,"suffix":""},{"dropping-particle":"","family":"Pugliese","given":"J S","non-dropping-particle":"","parse-names":false,"suffix":""},{"dropping-particle":"","family":"Santi","given":"L.","non-dropping-particle":"","parse-names":false,"suffix":""},{"dropping-particle":"","family":"Sartori","given":"C","non-dropping-particle":"","parse-names":false,"suffix":""},{"dropping-particle":"","family":"Scillia","given":"M L","non-dropping-particle":"","parse-names":false,"suffix":""},{"dropping-particle":"","family":"Stefanel.","given":"A","non-dropping-particle":"","parse-names":false,"suffix":""}],"container-title":"La Fisica nella Scuola","id":"ITEM-1","issue":"suppl. 1","issued":{"date-parts":[["2021"]]},"page":"1998","title":"Giochi, Esperimenti, Idee (GEI): una mostra per realizzare un ponte tra lo sperimentare quotidiano e l'attività scolastica","type":"article-journal","volume":"XXXI"},"uris":["http://www.mendeley.com/documents/?uuid=a50ed8cf-c1b0-4f71-b014-b5a0fa60e5df"]}],"mendeley":{"formattedCitation":"[33]","plainTextFormattedCitation":"[33]","previouslyFormattedCitation":"[33]"},"properties":{"noteIndex":0},"schema":"https://github.com/citation-style-language/schema/raw/master/csl-citation.json"}</w:instrText>
      </w:r>
      <w:r w:rsidR="00F16DBD" w:rsidRPr="00F16DBD">
        <w:rPr>
          <w:color w:val="000000" w:themeColor="text1"/>
        </w:rPr>
        <w:fldChar w:fldCharType="separate"/>
      </w:r>
      <w:r w:rsidR="00F16DBD" w:rsidRPr="00F16DBD">
        <w:rPr>
          <w:noProof/>
          <w:color w:val="000000" w:themeColor="text1"/>
        </w:rPr>
        <w:t>[33]</w:t>
      </w:r>
      <w:r w:rsidR="00F16DBD" w:rsidRPr="00F16DBD">
        <w:rPr>
          <w:color w:val="000000" w:themeColor="text1"/>
        </w:rPr>
        <w:fldChar w:fldCharType="end"/>
      </w:r>
      <w:r w:rsidRPr="00F16DBD">
        <w:rPr>
          <w:color w:val="000000" w:themeColor="text1"/>
        </w:rPr>
        <w:t xml:space="preserve">. </w:t>
      </w:r>
    </w:p>
    <w:p w14:paraId="527E3F6A" w14:textId="77777777" w:rsidR="00BF2ECB" w:rsidRPr="00F16DBD" w:rsidRDefault="00BF2ECB" w:rsidP="00BF2ECB">
      <w:pPr>
        <w:rPr>
          <w:b/>
          <w:color w:val="000000" w:themeColor="text1"/>
        </w:rPr>
      </w:pPr>
      <w:r w:rsidRPr="00F16DBD">
        <w:rPr>
          <w:color w:val="000000" w:themeColor="text1"/>
        </w:rPr>
        <w:br/>
      </w:r>
      <w:r w:rsidRPr="00F16DBD">
        <w:rPr>
          <w:i/>
          <w:color w:val="000000" w:themeColor="text1"/>
        </w:rPr>
        <w:t>Dispositivo-1</w:t>
      </w:r>
    </w:p>
    <w:p w14:paraId="50539EF9" w14:textId="013F47AB" w:rsidR="00BF2ECB" w:rsidRPr="00F16DBD" w:rsidRDefault="00BF2ECB" w:rsidP="00BF2ECB">
      <w:pPr>
        <w:rPr>
          <w:color w:val="000000" w:themeColor="text1"/>
        </w:rPr>
      </w:pPr>
      <w:r w:rsidRPr="00F16DBD">
        <w:rPr>
          <w:color w:val="000000" w:themeColor="text1"/>
        </w:rPr>
        <w:t xml:space="preserve">Il dispositivo sperimentale propone un modello di globo oculare pressostatato (Figura 4). Esso è costituito da un palloncino gonfiabile di plastica elastica, contenuto all’interno di un globo di plastica rigida recante un foro circolare nella parte alta. Il palloncino è riempito d’acqua mediante un tubo flessibile passante da un foro praticato nella parte bassa dell’involucro rigido, e connesso a tenuta all’imbocco del palloncino elastico. L’altra estremità del tubo flessibile termina con un imbuto, la cui altezza può essere regolata a piacimento. In tal modo, la pressione all’interno del palloncino può essere controllata, via legge di Stevino, variando l’altezza della colonna d’acqua di alimentazione. Quando il palloncino è in pressione, dal foro superiore della parete rigida emerge una calotta elastica (dettaglio b in Figura 5) sulla quale poggia la sonda di deformabilità (dettaglio b in Figura 4), costituita da una pallina da ping pong connessa a un’asta graduata recante in alto un piattello sul quale possono essere sistemati pesi variabili. In questo modello meccanico, la calotta elastica rappresenta la superficie corneale di un occhio reale, la cui deformabilità viene misurata mediante il tonometro. È bene precisare che nella pratica </w:t>
      </w:r>
      <w:proofErr w:type="spellStart"/>
      <w:r w:rsidRPr="00F16DBD">
        <w:rPr>
          <w:color w:val="000000" w:themeColor="text1"/>
        </w:rPr>
        <w:t>tonometrica</w:t>
      </w:r>
      <w:proofErr w:type="spellEnd"/>
      <w:r w:rsidRPr="00F16DBD">
        <w:rPr>
          <w:color w:val="000000" w:themeColor="text1"/>
        </w:rPr>
        <w:t xml:space="preserve"> reale entrano in gioco alcuni parametri (quali lo spessore corneale e l’isteresi elastica che tale struttura presenta) che influenzano l’affidabilità delle misurazioni effettuate con i diversi tonometri. Il modello didattico qui proposto non è in grado di simulare la variabilità di tali parametri. Il dispositivo permette di esplorare vari aspetti della tonometria, la comprensione dei quali coinvolge in maniera piena e intrecciata le diverse leggi della fisica dei fluidi. A titolo di esempio riportiamo qui un’unica serie di misure che sta concettualmente alla base della taratura di un tonometro reale, nel determinare la relazione deformabilità/pressione. </w:t>
      </w:r>
    </w:p>
    <w:p w14:paraId="6D8E4587" w14:textId="77777777" w:rsidR="00BF2ECB" w:rsidRDefault="00BF2ECB" w:rsidP="00BF2ECB">
      <w:pPr>
        <w:keepNext/>
        <w:jc w:val="center"/>
        <w:rPr>
          <w:color w:val="000000"/>
        </w:rPr>
      </w:pPr>
      <w:r>
        <w:rPr>
          <w:noProof/>
          <w:color w:val="000000"/>
        </w:rPr>
        <w:lastRenderedPageBreak/>
        <w:drawing>
          <wp:inline distT="0" distB="0" distL="0" distR="0" wp14:anchorId="6AC6FEB4" wp14:editId="01DBB95F">
            <wp:extent cx="5040000" cy="6771221"/>
            <wp:effectExtent l="0" t="0" r="1905"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040000" cy="6771221"/>
                    </a:xfrm>
                    <a:prstGeom prst="rect">
                      <a:avLst/>
                    </a:prstGeom>
                    <a:ln/>
                  </pic:spPr>
                </pic:pic>
              </a:graphicData>
            </a:graphic>
          </wp:inline>
        </w:drawing>
      </w:r>
    </w:p>
    <w:p w14:paraId="060E39AB" w14:textId="52BD46BC" w:rsidR="00BF2ECB" w:rsidRDefault="00BF2ECB" w:rsidP="00BF2ECB">
      <w:pPr>
        <w:pBdr>
          <w:top w:val="nil"/>
          <w:left w:val="nil"/>
          <w:bottom w:val="nil"/>
          <w:right w:val="nil"/>
          <w:between w:val="nil"/>
        </w:pBdr>
        <w:spacing w:after="360" w:line="240" w:lineRule="auto"/>
        <w:jc w:val="center"/>
        <w:rPr>
          <w:rFonts w:eastAsia="Times New Roman"/>
          <w:color w:val="000000"/>
          <w:sz w:val="18"/>
          <w:szCs w:val="18"/>
        </w:rPr>
      </w:pPr>
      <w:r>
        <w:rPr>
          <w:rFonts w:eastAsia="Times New Roman"/>
          <w:color w:val="000000"/>
          <w:sz w:val="18"/>
          <w:szCs w:val="18"/>
        </w:rPr>
        <w:t xml:space="preserve">Fig. 4: </w:t>
      </w:r>
      <w:r w:rsidRPr="00BF2ECB">
        <w:rPr>
          <w:rFonts w:eastAsia="Times New Roman"/>
          <w:color w:val="000000"/>
          <w:sz w:val="18"/>
          <w:szCs w:val="18"/>
        </w:rPr>
        <w:t>Struttura del dispositivo-1, che permette di esplorare quantitativamente la dipendenza della deformabilità di un modello di globo oculare dalla pressione al suo interno. Un pallone gonfiabile di plastica elastica (viola in figura) è contenuto all’interno di un globo di plastica rigida trasparente, recante un foro circolare nella parte alta. Dal foro emerge una calotta elastica (dettaglio in c) sulla quale poggia la sonda di deformabilità costituita da una pallina da ping pong connessa a un’asta graduata recante in alto un piattello sul quale possono essere sistemati pesi variabili (dettaglio in b). La pressione all’interno della calotta elastica può essere controllata, via legge di Stevino, variando l’altezza della colonna d’acqua di alimentazione del palloncino, tramite un tubo di gomma terminante con un imbuto (figura a)). L’inserto d) mostra schematicamente alcuni parametri geometrici d’interesse del dispositivo.</w:t>
      </w:r>
    </w:p>
    <w:p w14:paraId="5A7CB0FC" w14:textId="77777777" w:rsidR="00BF2ECB" w:rsidRDefault="00BF2ECB" w:rsidP="00BF2ECB">
      <w:pPr>
        <w:rPr>
          <w:color w:val="00B050"/>
        </w:rPr>
      </w:pPr>
    </w:p>
    <w:p w14:paraId="2AA19643" w14:textId="77777777" w:rsidR="00BF2ECB" w:rsidRDefault="00BF2ECB" w:rsidP="00BF2ECB">
      <w:pPr>
        <w:keepNext/>
        <w:jc w:val="center"/>
        <w:rPr>
          <w:color w:val="000000"/>
        </w:rPr>
      </w:pPr>
      <w:r>
        <w:rPr>
          <w:noProof/>
          <w:color w:val="000000"/>
        </w:rPr>
        <w:lastRenderedPageBreak/>
        <w:drawing>
          <wp:inline distT="0" distB="0" distL="0" distR="0" wp14:anchorId="0535A345" wp14:editId="3F4336C2">
            <wp:extent cx="5760000" cy="3004701"/>
            <wp:effectExtent l="0" t="0" r="0" b="571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760000" cy="3004701"/>
                    </a:xfrm>
                    <a:prstGeom prst="rect">
                      <a:avLst/>
                    </a:prstGeom>
                    <a:ln/>
                  </pic:spPr>
                </pic:pic>
              </a:graphicData>
            </a:graphic>
          </wp:inline>
        </w:drawing>
      </w:r>
    </w:p>
    <w:p w14:paraId="33068BA7" w14:textId="4FC668AB" w:rsidR="00BF2ECB" w:rsidRDefault="00BF2ECB" w:rsidP="00BF2ECB">
      <w:pPr>
        <w:jc w:val="center"/>
      </w:pPr>
      <w:r>
        <w:rPr>
          <w:rFonts w:eastAsia="Times New Roman"/>
          <w:color w:val="000000"/>
          <w:sz w:val="18"/>
          <w:szCs w:val="18"/>
        </w:rPr>
        <w:t xml:space="preserve">Fig. 5: </w:t>
      </w:r>
      <w:r w:rsidRPr="00BF2ECB">
        <w:rPr>
          <w:rFonts w:eastAsia="Times New Roman"/>
          <w:color w:val="000000"/>
          <w:sz w:val="18"/>
          <w:szCs w:val="18"/>
        </w:rPr>
        <w:t>La figura mostra la deformazione della calotta elastica (d, definita in Figura 4.d) in funzione del peso collocato sul piattello, per differenti valori dell’altezza della colonna di alimentazione del globo (H, definita in Figura 4.d), cui corrispondono differenti valori della pressione nel globo. Il coefficiente angolare delle rette interpolanti fornisce una buona misurazione della deformabilità del globo. Come si può vedere, la deformabilità diminuisce all’aumentare della pressione interna.</w:t>
      </w:r>
    </w:p>
    <w:p w14:paraId="1D284D4D" w14:textId="77777777" w:rsidR="00BF2ECB" w:rsidRDefault="00BF2ECB" w:rsidP="00BF2ECB"/>
    <w:p w14:paraId="66085F74" w14:textId="77777777" w:rsidR="00611E14" w:rsidRPr="00C74240" w:rsidRDefault="00611E14" w:rsidP="00611E14">
      <w:pPr>
        <w:rPr>
          <w:b/>
          <w:color w:val="000000" w:themeColor="text1"/>
        </w:rPr>
      </w:pPr>
      <w:r w:rsidRPr="00C74240">
        <w:rPr>
          <w:i/>
          <w:color w:val="000000" w:themeColor="text1"/>
        </w:rPr>
        <w:t>Dispositivo-2</w:t>
      </w:r>
    </w:p>
    <w:p w14:paraId="5A2C6646" w14:textId="5537ABBD" w:rsidR="00BF2ECB" w:rsidRPr="00C74240" w:rsidRDefault="00611E14" w:rsidP="00611E14">
      <w:pPr>
        <w:rPr>
          <w:color w:val="000000" w:themeColor="text1"/>
        </w:rPr>
      </w:pPr>
      <w:r w:rsidRPr="00C74240">
        <w:rPr>
          <w:color w:val="000000" w:themeColor="text1"/>
        </w:rPr>
        <w:t xml:space="preserve">Il secondo dispositivo è finalizzato a far comprendere agli studenti come la pressione all’interno del globo oculare influenzi la pervietà dei vasi sanguigni. Il sistema, mostrato in Figura 6, è analogo al primo dispositivo (Figura 4), essendo parimenti costituito da un palloncino elastico riempito d’acqua a pressione regolabile, contenuto in un globo rigido. In questo caso l’involucro rigido presenta due ulteriori piccoli fori, attraverso i quali passa un tubicino sottile, che in tal modo risulta compreso per un tratto tra il palloncino elastico viola e il globo rigido (Figura 6.b). Il tubicino è alimentato da un contenitore riempito di acqua colorata di rosso, che può essere collocato ad altezza variabile. L’altro estremo del tubicino termina in un becher che permette di raccogliere e misurare l’acqua che fluisce in un fissato intervallo di tempo. L’esperimento condotto con questo apparato permette di studiare la portata del tubicino in funzione dell’altezza </w:t>
      </w:r>
      <w:r w:rsidRPr="00C74240">
        <w:rPr>
          <w:i/>
          <w:color w:val="000000" w:themeColor="text1"/>
        </w:rPr>
        <w:t>h</w:t>
      </w:r>
      <w:r w:rsidRPr="00C74240">
        <w:rPr>
          <w:color w:val="000000" w:themeColor="text1"/>
        </w:rPr>
        <w:t xml:space="preserve"> (Figura 6.c) al variare della pressione all’interno del globo, determinata a sua volta dall’altezza </w:t>
      </w:r>
      <w:r w:rsidRPr="00C74240">
        <w:rPr>
          <w:i/>
          <w:color w:val="000000" w:themeColor="text1"/>
        </w:rPr>
        <w:t>H</w:t>
      </w:r>
      <w:r w:rsidRPr="00C74240">
        <w:rPr>
          <w:color w:val="000000" w:themeColor="text1"/>
        </w:rPr>
        <w:t xml:space="preserve"> (Figura 6.c). L’idea di massima è che il tubicino (che rappresenta un vaso sanguigno) venga progressivamente schiacciato all’aumentare della pressione nel globo, in tal modo opponendo progressivamente più resistenza al flusso del “sangue” in esso. D’altra parte, la portata del modello di vaso sanguigno dipende dalla differenza di pressione tra i suoi estremi, che può essere modulata regolando l’altezza </w:t>
      </w:r>
      <w:r w:rsidRPr="00C74240">
        <w:rPr>
          <w:i/>
          <w:color w:val="000000" w:themeColor="text1"/>
        </w:rPr>
        <w:t>h</w:t>
      </w:r>
      <w:r w:rsidRPr="00C74240">
        <w:rPr>
          <w:color w:val="000000" w:themeColor="text1"/>
        </w:rPr>
        <w:t xml:space="preserve"> del recipiente di alimentazione. Tale ultimo parametro del modello corrisponde al gradiente di pressione in un vaso sanguigno reale. Il grafico in Figura 7 mostra un esempio di relazione tra pervietà del modello di vaso e pressione all’interno del globo, determinata mediante l’esecuzione di una serie di misure sul modello. Come si può vedere, la pervietà del vaso diminuisce all’aumentare della pressione nel globo.</w:t>
      </w:r>
    </w:p>
    <w:p w14:paraId="7CBB5104" w14:textId="77777777" w:rsidR="00611E14" w:rsidRPr="00C74240" w:rsidRDefault="00611E14" w:rsidP="00611E14">
      <w:pPr>
        <w:rPr>
          <w:color w:val="000000" w:themeColor="text1"/>
        </w:rPr>
      </w:pPr>
    </w:p>
    <w:p w14:paraId="0B50CC29" w14:textId="77777777" w:rsidR="00D70638" w:rsidRDefault="00D70638" w:rsidP="00D70638">
      <w:pPr>
        <w:keepNext/>
        <w:jc w:val="center"/>
        <w:rPr>
          <w:color w:val="000000"/>
        </w:rPr>
      </w:pPr>
      <w:r>
        <w:rPr>
          <w:noProof/>
          <w:color w:val="000000"/>
        </w:rPr>
        <w:lastRenderedPageBreak/>
        <w:drawing>
          <wp:inline distT="0" distB="0" distL="0" distR="0" wp14:anchorId="7D120F85" wp14:editId="6A3E69C5">
            <wp:extent cx="5040000" cy="4239529"/>
            <wp:effectExtent l="0" t="0" r="1905" b="254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040000" cy="4239529"/>
                    </a:xfrm>
                    <a:prstGeom prst="rect">
                      <a:avLst/>
                    </a:prstGeom>
                    <a:ln/>
                  </pic:spPr>
                </pic:pic>
              </a:graphicData>
            </a:graphic>
          </wp:inline>
        </w:drawing>
      </w:r>
    </w:p>
    <w:p w14:paraId="46CF7560" w14:textId="77777777" w:rsidR="000D057F" w:rsidRDefault="00D70638" w:rsidP="000D057F">
      <w:pPr>
        <w:jc w:val="center"/>
        <w:rPr>
          <w:rFonts w:eastAsia="Times New Roman"/>
          <w:color w:val="000000"/>
          <w:sz w:val="18"/>
          <w:szCs w:val="18"/>
        </w:rPr>
      </w:pPr>
      <w:r>
        <w:rPr>
          <w:rFonts w:eastAsia="Times New Roman"/>
          <w:color w:val="000000"/>
          <w:sz w:val="18"/>
          <w:szCs w:val="18"/>
        </w:rPr>
        <w:t xml:space="preserve">Fig. 6: </w:t>
      </w:r>
      <w:r w:rsidRPr="00D70638">
        <w:rPr>
          <w:rFonts w:eastAsia="Times New Roman"/>
          <w:color w:val="000000"/>
          <w:sz w:val="18"/>
          <w:szCs w:val="18"/>
        </w:rPr>
        <w:t>Struttura del dispositivo-2, che permette di esplorare in maniera semi quantitativa il modo in cui la pressione all’interno del globo oculare influenza la pervietà dei vasi sanguigni che irrorano le strutture endoculari. Il sistema è una variante di quello mostrato in Figura 5. In questo caso l’involucro rigido presenta due ulteriori piccoli fori, attraverso i quali passa un tubicino sottile, che in tal modo risulta compreso per un tratto tra il palloncino elastico viola e il globo rigido (figura b). Il tubicino è alimentato da un contenitore (cilindro metallico sopra la struttura di legno in figura a) riempito di acqua colorata di rosso, che può essere collocato ad altezza variabile. L’altro estremo del tubicino finisce in un becher che permette di raccogliere e misurare l’acqua che fluisce in un fissato intervallo di tempo. L’inserto c) mostra schematicamente alcuni parametri geometrici d’interesse del dispositivo.</w:t>
      </w:r>
    </w:p>
    <w:p w14:paraId="0A10FFFD" w14:textId="4511D12E" w:rsidR="000D057F" w:rsidRDefault="000D057F" w:rsidP="000D057F">
      <w:pPr>
        <w:jc w:val="center"/>
        <w:rPr>
          <w:color w:val="E36C0A" w:themeColor="accent6" w:themeShade="BF"/>
        </w:rPr>
      </w:pPr>
    </w:p>
    <w:p w14:paraId="57929B70" w14:textId="77777777" w:rsidR="003540EA" w:rsidRDefault="003540EA" w:rsidP="000D057F">
      <w:pPr>
        <w:jc w:val="center"/>
        <w:rPr>
          <w:color w:val="E36C0A" w:themeColor="accent6" w:themeShade="BF"/>
        </w:rPr>
      </w:pPr>
    </w:p>
    <w:p w14:paraId="18750B77" w14:textId="6C5A7484" w:rsidR="003540EA" w:rsidRDefault="003540EA" w:rsidP="000D057F">
      <w:pPr>
        <w:jc w:val="center"/>
        <w:rPr>
          <w:color w:val="E36C0A" w:themeColor="accent6" w:themeShade="BF"/>
        </w:rPr>
      </w:pPr>
      <w:r>
        <w:rPr>
          <w:noProof/>
        </w:rPr>
        <w:lastRenderedPageBreak/>
        <w:drawing>
          <wp:inline distT="0" distB="0" distL="0" distR="0" wp14:anchorId="24D8D638" wp14:editId="7E49BC19">
            <wp:extent cx="4879975" cy="2927985"/>
            <wp:effectExtent l="0" t="0" r="0" b="5715"/>
            <wp:docPr id="2"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6">
                      <a:extLst>
                        <a:ext uri="{28A0092B-C50C-407E-A947-70E740481C1C}">
                          <a14:useLocalDpi xmlns:a14="http://schemas.microsoft.com/office/drawing/2010/main" val="0"/>
                        </a:ext>
                      </a:extLst>
                    </a:blip>
                    <a:srcRect/>
                    <a:stretch>
                      <a:fillRect/>
                    </a:stretch>
                  </pic:blipFill>
                  <pic:spPr>
                    <a:xfrm>
                      <a:off x="0" y="0"/>
                      <a:ext cx="4879975" cy="2927985"/>
                    </a:xfrm>
                    <a:prstGeom prst="rect">
                      <a:avLst/>
                    </a:prstGeom>
                    <a:ln/>
                  </pic:spPr>
                </pic:pic>
              </a:graphicData>
            </a:graphic>
          </wp:inline>
        </w:drawing>
      </w:r>
    </w:p>
    <w:p w14:paraId="79E3D97E" w14:textId="087C4DF6" w:rsidR="003540EA" w:rsidRPr="003540EA" w:rsidRDefault="003540EA" w:rsidP="003540EA">
      <w:pPr>
        <w:spacing w:line="240" w:lineRule="auto"/>
        <w:jc w:val="center"/>
        <w:rPr>
          <w:rFonts w:eastAsia="Times New Roman"/>
          <w:color w:val="000000"/>
          <w:sz w:val="18"/>
          <w:szCs w:val="18"/>
        </w:rPr>
      </w:pPr>
      <w:r w:rsidRPr="003540EA">
        <w:rPr>
          <w:rFonts w:eastAsia="Times New Roman"/>
          <w:color w:val="000000"/>
          <w:sz w:val="18"/>
          <w:szCs w:val="18"/>
        </w:rPr>
        <w:t>Fig</w:t>
      </w:r>
      <w:r>
        <w:rPr>
          <w:rFonts w:eastAsia="Times New Roman"/>
          <w:color w:val="000000"/>
          <w:sz w:val="18"/>
          <w:szCs w:val="18"/>
        </w:rPr>
        <w:t xml:space="preserve">. 7: </w:t>
      </w:r>
      <w:r w:rsidRPr="003540EA">
        <w:rPr>
          <w:rFonts w:eastAsia="Times New Roman"/>
          <w:color w:val="000000"/>
          <w:sz w:val="18"/>
          <w:szCs w:val="18"/>
        </w:rPr>
        <w:t xml:space="preserve">Portata del modello di vaso sanguigno, inglobato nel modello di globo oculare, in funzione della pressione all’interno del globo stesso. Ciascun punto sperimentale è stato determinato mediando i valori della portata determinati per quattro differenti impostazioni del dislivello h di Figura 6.c (che, come chiarito nel testo, corrisponde al gradiente di pressione sanguigna di un vaso reale).  </w:t>
      </w:r>
    </w:p>
    <w:p w14:paraId="6534DF44" w14:textId="77777777" w:rsidR="003540EA" w:rsidRDefault="003540EA" w:rsidP="000D057F">
      <w:pPr>
        <w:jc w:val="center"/>
        <w:rPr>
          <w:color w:val="E36C0A" w:themeColor="accent6" w:themeShade="BF"/>
        </w:rPr>
      </w:pPr>
    </w:p>
    <w:p w14:paraId="4939318D" w14:textId="4E26A54B" w:rsidR="000D057F" w:rsidRPr="00F16DBD" w:rsidRDefault="000D057F" w:rsidP="000D057F">
      <w:pPr>
        <w:pBdr>
          <w:top w:val="nil"/>
          <w:left w:val="nil"/>
          <w:bottom w:val="nil"/>
          <w:right w:val="nil"/>
          <w:between w:val="nil"/>
        </w:pBdr>
        <w:spacing w:before="240" w:after="120"/>
        <w:rPr>
          <w:rFonts w:eastAsia="Times New Roman"/>
          <w:b/>
          <w:color w:val="000000" w:themeColor="text1"/>
          <w:sz w:val="24"/>
          <w:szCs w:val="24"/>
        </w:rPr>
      </w:pPr>
      <w:r>
        <w:rPr>
          <w:rFonts w:eastAsia="Times New Roman"/>
          <w:b/>
          <w:color w:val="000000" w:themeColor="text1"/>
          <w:sz w:val="24"/>
          <w:szCs w:val="24"/>
        </w:rPr>
        <w:t>5</w:t>
      </w:r>
      <w:r w:rsidRPr="00F16DBD">
        <w:rPr>
          <w:rFonts w:eastAsia="Times New Roman"/>
          <w:b/>
          <w:color w:val="000000" w:themeColor="text1"/>
          <w:sz w:val="24"/>
          <w:szCs w:val="24"/>
        </w:rPr>
        <w:t xml:space="preserve">. </w:t>
      </w:r>
      <w:r>
        <w:rPr>
          <w:rFonts w:eastAsia="Times New Roman"/>
          <w:b/>
          <w:color w:val="000000" w:themeColor="text1"/>
          <w:sz w:val="24"/>
          <w:szCs w:val="24"/>
        </w:rPr>
        <w:t>Conclusioni</w:t>
      </w:r>
    </w:p>
    <w:p w14:paraId="16D1088F" w14:textId="35E3AC7B" w:rsidR="00934193" w:rsidRDefault="000D057F" w:rsidP="000D057F">
      <w:pPr>
        <w:rPr>
          <w:color w:val="000000" w:themeColor="text1"/>
        </w:rPr>
      </w:pPr>
      <w:r w:rsidRPr="00F16DBD">
        <w:rPr>
          <w:color w:val="000000" w:themeColor="text1"/>
        </w:rPr>
        <w:t xml:space="preserve">In </w:t>
      </w:r>
      <w:r w:rsidR="00DC3727">
        <w:rPr>
          <w:color w:val="000000" w:themeColor="text1"/>
        </w:rPr>
        <w:t xml:space="preserve">questo articolo è stata presentata un’esperienza didattica congiunta scuola-università realizzata nell’ambito di un Percorso per le Competenze Trasversali e l’Orientamento, che ha coinvolto in maniera attiva i docenti della scuola secondaria nell’intero processo di progettazione del percorso, sviluppo dei materiali didattici necessari, realizzazione dell’attività presso l’università. Quest’ultima fase è stata solo parzialmente attuata, a causa del sopraggiungere della crisi pandemica. Il percorso di apprendimento riguarda la fisica dei fluidi ed è contestualizzato su una tematica biomedica, il glaucoma e </w:t>
      </w:r>
      <w:r w:rsidR="00F861FC">
        <w:rPr>
          <w:color w:val="000000" w:themeColor="text1"/>
        </w:rPr>
        <w:t>la</w:t>
      </w:r>
      <w:r w:rsidR="00DC3727">
        <w:rPr>
          <w:color w:val="000000" w:themeColor="text1"/>
        </w:rPr>
        <w:t xml:space="preserve"> sua prevenzione, avente anche valenza di educazione alla salute.</w:t>
      </w:r>
      <w:r w:rsidR="00BB4B3C">
        <w:rPr>
          <w:color w:val="000000" w:themeColor="text1"/>
        </w:rPr>
        <w:t xml:space="preserve"> Nelle fasi di progettazione del percorso e di realizzazione dei materiali didattici i docenti della scuola secondaria hanno avuto modo, tra l’altro</w:t>
      </w:r>
      <w:r w:rsidR="00F861FC">
        <w:rPr>
          <w:color w:val="000000" w:themeColor="text1"/>
        </w:rPr>
        <w:t>,</w:t>
      </w:r>
      <w:r w:rsidR="00BB4B3C">
        <w:rPr>
          <w:color w:val="000000" w:themeColor="text1"/>
        </w:rPr>
        <w:t xml:space="preserve"> di:</w:t>
      </w:r>
    </w:p>
    <w:p w14:paraId="27B5627E" w14:textId="54CC5043" w:rsidR="00934193" w:rsidRPr="00F861FC" w:rsidRDefault="00BB4B3C" w:rsidP="00934193">
      <w:pPr>
        <w:pStyle w:val="Paragrafoelenco"/>
        <w:numPr>
          <w:ilvl w:val="0"/>
          <w:numId w:val="3"/>
        </w:numPr>
        <w:ind w:left="426" w:hanging="354"/>
        <w:rPr>
          <w:b w:val="0"/>
          <w:color w:val="000000" w:themeColor="text1"/>
          <w:sz w:val="22"/>
        </w:rPr>
      </w:pPr>
      <w:r w:rsidRPr="00F861FC">
        <w:rPr>
          <w:b w:val="0"/>
          <w:color w:val="000000" w:themeColor="text1"/>
          <w:sz w:val="22"/>
        </w:rPr>
        <w:t xml:space="preserve">riflettere sui fondamenti della tematica disciplinare, rielaborando le loro conoscenze nella prospettiva di individuazione delle difficoltà di apprendimento, dei concetti </w:t>
      </w:r>
      <w:proofErr w:type="spellStart"/>
      <w:r w:rsidRPr="00F861FC">
        <w:rPr>
          <w:b w:val="0"/>
          <w:i/>
          <w:color w:val="000000" w:themeColor="text1"/>
          <w:sz w:val="22"/>
        </w:rPr>
        <w:t>confusing</w:t>
      </w:r>
      <w:proofErr w:type="spellEnd"/>
      <w:r w:rsidRPr="00F861FC">
        <w:rPr>
          <w:b w:val="0"/>
          <w:color w:val="000000" w:themeColor="text1"/>
          <w:sz w:val="22"/>
        </w:rPr>
        <w:t xml:space="preserve">, del ruolo della conoscenza esperienziale pregressa delle studentesse e degli studenti; </w:t>
      </w:r>
    </w:p>
    <w:p w14:paraId="5D32C61C" w14:textId="77777777" w:rsidR="00934193" w:rsidRPr="00F861FC" w:rsidRDefault="00BB4B3C" w:rsidP="00934193">
      <w:pPr>
        <w:pStyle w:val="Paragrafoelenco"/>
        <w:numPr>
          <w:ilvl w:val="0"/>
          <w:numId w:val="3"/>
        </w:numPr>
        <w:ind w:left="426" w:hanging="354"/>
        <w:rPr>
          <w:b w:val="0"/>
          <w:color w:val="000000" w:themeColor="text1"/>
          <w:sz w:val="22"/>
        </w:rPr>
      </w:pPr>
      <w:r w:rsidRPr="00F861FC">
        <w:rPr>
          <w:b w:val="0"/>
          <w:color w:val="000000" w:themeColor="text1"/>
          <w:sz w:val="22"/>
        </w:rPr>
        <w:t>accedere alle fonti bibliografiche primarie (appositamente selezionate dai ricercatori in Didattica della Fisica) rimuovendo (o almeno riducendo) il pregiudizio secondo il quale solo gli esperti possano accedervi proficuamente</w:t>
      </w:r>
      <w:r w:rsidR="00934193" w:rsidRPr="00F861FC">
        <w:rPr>
          <w:b w:val="0"/>
          <w:color w:val="000000" w:themeColor="text1"/>
          <w:sz w:val="22"/>
        </w:rPr>
        <w:t>;</w:t>
      </w:r>
    </w:p>
    <w:p w14:paraId="18A0B66E" w14:textId="77383208" w:rsidR="00934193" w:rsidRPr="00F861FC" w:rsidRDefault="00934193" w:rsidP="00934193">
      <w:pPr>
        <w:pStyle w:val="Paragrafoelenco"/>
        <w:numPr>
          <w:ilvl w:val="0"/>
          <w:numId w:val="3"/>
        </w:numPr>
        <w:ind w:left="426" w:hanging="354"/>
        <w:rPr>
          <w:b w:val="0"/>
          <w:color w:val="000000" w:themeColor="text1"/>
          <w:sz w:val="22"/>
        </w:rPr>
      </w:pPr>
      <w:r w:rsidRPr="00F861FC">
        <w:rPr>
          <w:b w:val="0"/>
          <w:color w:val="000000" w:themeColor="text1"/>
          <w:sz w:val="22"/>
        </w:rPr>
        <w:t>Apprezzare l’utilità della rielaborazione di materiali didattici per adattarli alle specifiche esigenze</w:t>
      </w:r>
      <w:r w:rsidR="00F861FC">
        <w:rPr>
          <w:b w:val="0"/>
          <w:color w:val="000000" w:themeColor="text1"/>
          <w:sz w:val="22"/>
        </w:rPr>
        <w:t>;</w:t>
      </w:r>
    </w:p>
    <w:p w14:paraId="7DC848AC" w14:textId="77777777" w:rsidR="00934193" w:rsidRPr="00F861FC" w:rsidRDefault="00BB4B3C" w:rsidP="00934193">
      <w:pPr>
        <w:pStyle w:val="Paragrafoelenco"/>
        <w:numPr>
          <w:ilvl w:val="0"/>
          <w:numId w:val="3"/>
        </w:numPr>
        <w:ind w:left="426" w:hanging="354"/>
        <w:rPr>
          <w:b w:val="0"/>
          <w:color w:val="000000" w:themeColor="text1"/>
          <w:sz w:val="22"/>
        </w:rPr>
      </w:pPr>
      <w:r w:rsidRPr="00F861FC">
        <w:rPr>
          <w:b w:val="0"/>
          <w:color w:val="000000" w:themeColor="text1"/>
          <w:sz w:val="22"/>
        </w:rPr>
        <w:t xml:space="preserve"> </w:t>
      </w:r>
      <w:r w:rsidR="00934193" w:rsidRPr="00F861FC">
        <w:rPr>
          <w:b w:val="0"/>
          <w:color w:val="000000" w:themeColor="text1"/>
          <w:sz w:val="22"/>
        </w:rPr>
        <w:t>Sperimentare in un contesto concreto la progettazione e realizzazione di attività di apprendimento interdisciplinare.</w:t>
      </w:r>
    </w:p>
    <w:p w14:paraId="4303048C" w14:textId="41E448E1" w:rsidR="00934193" w:rsidRPr="00F861FC" w:rsidRDefault="00934193" w:rsidP="00934193">
      <w:pPr>
        <w:rPr>
          <w:color w:val="000000" w:themeColor="text1"/>
        </w:rPr>
      </w:pPr>
      <w:r w:rsidRPr="00F861FC">
        <w:rPr>
          <w:color w:val="000000" w:themeColor="text1"/>
        </w:rPr>
        <w:lastRenderedPageBreak/>
        <w:t>Riteniamo pertanto che l’esperienza condotta (prioritariamente rivolta alle studentesse e studenti</w:t>
      </w:r>
      <w:r w:rsidR="00F861FC">
        <w:rPr>
          <w:color w:val="000000" w:themeColor="text1"/>
        </w:rPr>
        <w:t>,</w:t>
      </w:r>
      <w:r w:rsidRPr="00F861FC">
        <w:rPr>
          <w:color w:val="000000" w:themeColor="text1"/>
        </w:rPr>
        <w:t xml:space="preserve"> sia della scuola che dell’università) abbia una valenza formativa anche per i docenti e possa perciò costituire un’utile pratica esemplare di formazione professionale in servizio.</w:t>
      </w:r>
    </w:p>
    <w:p w14:paraId="29314C76" w14:textId="21F4FE8F" w:rsidR="00A01499" w:rsidRPr="00934193" w:rsidRDefault="00934193" w:rsidP="00934193">
      <w:pPr>
        <w:rPr>
          <w:color w:val="000000" w:themeColor="text1"/>
          <w:sz w:val="24"/>
        </w:rPr>
      </w:pPr>
      <w:r w:rsidRPr="00F861FC">
        <w:rPr>
          <w:color w:val="000000" w:themeColor="text1"/>
        </w:rPr>
        <w:t>Nel lavoro, peraltro, i dispositivi sperimentali originali realizzati per il percorso sono stati presentati con un grado di dettaglio sufficiente a consentirne la replicazione e sono stati dati alcuni esempi di applicazione di tali dispositivi in un contesto didattico.</w:t>
      </w:r>
      <w:r>
        <w:rPr>
          <w:color w:val="E36C0A" w:themeColor="accent6" w:themeShade="BF"/>
        </w:rPr>
        <w:t xml:space="preserve"> </w:t>
      </w:r>
    </w:p>
    <w:p w14:paraId="0000004E" w14:textId="6A7DD90D" w:rsidR="006D1649" w:rsidRDefault="00563E52">
      <w:pPr>
        <w:pBdr>
          <w:top w:val="nil"/>
          <w:left w:val="nil"/>
          <w:bottom w:val="nil"/>
          <w:right w:val="nil"/>
          <w:between w:val="nil"/>
        </w:pBdr>
        <w:spacing w:before="240" w:after="120"/>
        <w:rPr>
          <w:rFonts w:eastAsia="Times New Roman"/>
          <w:b/>
          <w:color w:val="000000"/>
          <w:sz w:val="24"/>
          <w:szCs w:val="24"/>
        </w:rPr>
      </w:pPr>
      <w:r>
        <w:rPr>
          <w:rFonts w:eastAsia="Times New Roman"/>
          <w:b/>
          <w:color w:val="000000"/>
          <w:sz w:val="24"/>
          <w:szCs w:val="24"/>
        </w:rPr>
        <w:t>Bibliografia</w:t>
      </w:r>
    </w:p>
    <w:p w14:paraId="3739250F" w14:textId="3A8F7F28" w:rsidR="00F16DBD" w:rsidRPr="00611E14" w:rsidRDefault="00A01499" w:rsidP="00F861FC">
      <w:pPr>
        <w:widowControl w:val="0"/>
        <w:autoSpaceDE w:val="0"/>
        <w:autoSpaceDN w:val="0"/>
        <w:adjustRightInd w:val="0"/>
        <w:spacing w:before="240" w:after="120" w:line="240" w:lineRule="auto"/>
        <w:ind w:left="641" w:hanging="641"/>
        <w:contextualSpacing/>
        <w:rPr>
          <w:noProof/>
          <w:sz w:val="24"/>
          <w:lang w:val="en-US"/>
        </w:rPr>
      </w:pPr>
      <w:r>
        <w:rPr>
          <w:rFonts w:eastAsia="Times New Roman"/>
          <w:bCs/>
          <w:color w:val="000000"/>
          <w:sz w:val="24"/>
          <w:szCs w:val="24"/>
        </w:rPr>
        <w:fldChar w:fldCharType="begin" w:fldLock="1"/>
      </w:r>
      <w:r>
        <w:rPr>
          <w:rFonts w:eastAsia="Times New Roman"/>
          <w:bCs/>
          <w:color w:val="000000"/>
          <w:sz w:val="24"/>
          <w:szCs w:val="24"/>
        </w:rPr>
        <w:instrText xml:space="preserve">ADDIN Mendeley Bibliography CSL_BIBLIOGRAPHY </w:instrText>
      </w:r>
      <w:r>
        <w:rPr>
          <w:rFonts w:eastAsia="Times New Roman"/>
          <w:bCs/>
          <w:color w:val="000000"/>
          <w:sz w:val="24"/>
          <w:szCs w:val="24"/>
        </w:rPr>
        <w:fldChar w:fldCharType="separate"/>
      </w:r>
      <w:r w:rsidR="00F16DBD" w:rsidRPr="00F16DBD">
        <w:rPr>
          <w:noProof/>
          <w:sz w:val="24"/>
        </w:rPr>
        <w:t>[1]</w:t>
      </w:r>
      <w:r w:rsidR="00F16DBD" w:rsidRPr="00F16DBD">
        <w:rPr>
          <w:noProof/>
          <w:sz w:val="24"/>
        </w:rPr>
        <w:tab/>
        <w:t xml:space="preserve">G. Bozzo, “Video-analisi di sistemi di riferimento in caduta libera e Principio di Equivalenza,” </w:t>
      </w:r>
      <w:r w:rsidR="00F16DBD" w:rsidRPr="00F16DBD">
        <w:rPr>
          <w:i/>
          <w:iCs/>
          <w:noProof/>
          <w:sz w:val="24"/>
        </w:rPr>
        <w:t>G. di Fis.</w:t>
      </w:r>
      <w:r w:rsidR="00F16DBD" w:rsidRPr="00F16DBD">
        <w:rPr>
          <w:noProof/>
          <w:sz w:val="24"/>
        </w:rPr>
        <w:t xml:space="preserve">, vol. </w:t>
      </w:r>
      <w:r w:rsidR="00F16DBD" w:rsidRPr="00611E14">
        <w:rPr>
          <w:noProof/>
          <w:sz w:val="24"/>
          <w:lang w:val="en-US"/>
        </w:rPr>
        <w:t>LX, no. 2, pp. 139–155, 2019.</w:t>
      </w:r>
    </w:p>
    <w:p w14:paraId="264F72B0"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w:t>
      </w:r>
      <w:r w:rsidRPr="00611E14">
        <w:rPr>
          <w:noProof/>
          <w:sz w:val="24"/>
          <w:lang w:val="en-US"/>
        </w:rPr>
        <w:tab/>
        <w:t xml:space="preserve">D. H. Jonassen and C. S. Carr, “Mindtools: Affording Multiple Knowledge Representations for Learning,” in </w:t>
      </w:r>
      <w:r w:rsidRPr="00611E14">
        <w:rPr>
          <w:i/>
          <w:iCs/>
          <w:noProof/>
          <w:sz w:val="24"/>
          <w:lang w:val="en-US"/>
        </w:rPr>
        <w:t>Computers as Cognitive Tools. Volume Two: No More Walls</w:t>
      </w:r>
      <w:r w:rsidRPr="00611E14">
        <w:rPr>
          <w:noProof/>
          <w:sz w:val="24"/>
          <w:lang w:val="en-US"/>
        </w:rPr>
        <w:t>, S. P. Lajoie, Ed. Mahwah (New Jersey): Lawrence Erlbaum Associates, 2000.</w:t>
      </w:r>
    </w:p>
    <w:p w14:paraId="50EF934B"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F16DBD">
        <w:rPr>
          <w:noProof/>
          <w:sz w:val="24"/>
        </w:rPr>
        <w:t>[3]</w:t>
      </w:r>
      <w:r w:rsidRPr="00F16DBD">
        <w:rPr>
          <w:noProof/>
          <w:sz w:val="24"/>
        </w:rPr>
        <w:tab/>
        <w:t xml:space="preserve">A. Pascucci, “L’Inquiry Based Science Education – IBSE nella formazione docenti e nella pratica didattica Indice,” 2014. </w:t>
      </w:r>
      <w:r w:rsidRPr="00611E14">
        <w:rPr>
          <w:noProof/>
          <w:sz w:val="24"/>
          <w:lang w:val="en-US"/>
        </w:rPr>
        <w:t>[Online]. Available: http://www.scuolavalore.indire.it/nuove_risorse/linquiry-based-science-education-ibse-nella-formazione-docenti-e-nella-pratica-didattica/.</w:t>
      </w:r>
    </w:p>
    <w:p w14:paraId="11F2776B" w14:textId="29E4FA65"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F16DBD">
        <w:rPr>
          <w:noProof/>
          <w:sz w:val="24"/>
        </w:rPr>
        <w:t>[4]</w:t>
      </w:r>
      <w:r w:rsidRPr="00F16DBD">
        <w:rPr>
          <w:noProof/>
          <w:sz w:val="24"/>
        </w:rPr>
        <w:tab/>
        <w:t>L. Madeo, “Percorso innovativo di laboratorio reale/virtuale per l’apprendimento della statica dei fluidi”</w:t>
      </w:r>
      <w:r w:rsidR="00E44E1F">
        <w:rPr>
          <w:noProof/>
          <w:sz w:val="24"/>
        </w:rPr>
        <w:t>. Tesi di laurea magistrale,</w:t>
      </w:r>
      <w:r w:rsidRPr="00F16DBD">
        <w:rPr>
          <w:noProof/>
          <w:sz w:val="24"/>
        </w:rPr>
        <w:t xml:space="preserve"> </w:t>
      </w:r>
      <w:r w:rsidR="00853E85" w:rsidRPr="00853E85">
        <w:rPr>
          <w:noProof/>
          <w:sz w:val="24"/>
        </w:rPr>
        <w:t xml:space="preserve">corso di studi in </w:t>
      </w:r>
      <w:r w:rsidR="00E44E1F">
        <w:rPr>
          <w:noProof/>
          <w:sz w:val="24"/>
        </w:rPr>
        <w:t>S</w:t>
      </w:r>
      <w:r w:rsidR="00853E85" w:rsidRPr="00853E85">
        <w:rPr>
          <w:noProof/>
          <w:sz w:val="24"/>
        </w:rPr>
        <w:t xml:space="preserve">cienze e </w:t>
      </w:r>
      <w:r w:rsidR="00E44E1F">
        <w:rPr>
          <w:noProof/>
          <w:sz w:val="24"/>
        </w:rPr>
        <w:t>I</w:t>
      </w:r>
      <w:r w:rsidR="00853E85" w:rsidRPr="00853E85">
        <w:rPr>
          <w:noProof/>
          <w:sz w:val="24"/>
        </w:rPr>
        <w:t xml:space="preserve">ngegneria dei </w:t>
      </w:r>
      <w:r w:rsidR="00E44E1F">
        <w:rPr>
          <w:noProof/>
          <w:sz w:val="24"/>
        </w:rPr>
        <w:t>M</w:t>
      </w:r>
      <w:r w:rsidR="00853E85" w:rsidRPr="00853E85">
        <w:rPr>
          <w:noProof/>
          <w:sz w:val="24"/>
        </w:rPr>
        <w:t xml:space="preserve">ateriali </w:t>
      </w:r>
      <w:r w:rsidR="00E44E1F">
        <w:rPr>
          <w:noProof/>
          <w:sz w:val="24"/>
        </w:rPr>
        <w:t>I</w:t>
      </w:r>
      <w:r w:rsidR="00853E85" w:rsidRPr="00853E85">
        <w:rPr>
          <w:noProof/>
          <w:sz w:val="24"/>
        </w:rPr>
        <w:t xml:space="preserve">nnovativi e </w:t>
      </w:r>
      <w:r w:rsidR="00E44E1F">
        <w:rPr>
          <w:noProof/>
          <w:sz w:val="24"/>
        </w:rPr>
        <w:t>F</w:t>
      </w:r>
      <w:r w:rsidR="00853E85" w:rsidRPr="00853E85">
        <w:rPr>
          <w:noProof/>
          <w:sz w:val="24"/>
        </w:rPr>
        <w:t>unzionali</w:t>
      </w:r>
      <w:r w:rsidR="00853E85">
        <w:rPr>
          <w:noProof/>
          <w:sz w:val="24"/>
        </w:rPr>
        <w:t xml:space="preserve">, </w:t>
      </w:r>
      <w:r w:rsidR="00E44E1F">
        <w:rPr>
          <w:noProof/>
          <w:sz w:val="24"/>
        </w:rPr>
        <w:t>D</w:t>
      </w:r>
      <w:r w:rsidR="00853E85">
        <w:rPr>
          <w:noProof/>
          <w:sz w:val="24"/>
        </w:rPr>
        <w:t xml:space="preserve">ipartimento di Fisica - </w:t>
      </w:r>
      <w:r w:rsidRPr="00F16DBD">
        <w:rPr>
          <w:noProof/>
          <w:sz w:val="24"/>
        </w:rPr>
        <w:t>Università della Calabria, 2020.</w:t>
      </w:r>
    </w:p>
    <w:p w14:paraId="1DDC0F2D"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[5]</w:t>
      </w:r>
      <w:r w:rsidRPr="00611E14">
        <w:rPr>
          <w:noProof/>
          <w:sz w:val="24"/>
          <w:lang w:val="en-US"/>
        </w:rPr>
        <w:tab/>
        <w:t>“https://phet.colorado.edu.” .</w:t>
      </w:r>
    </w:p>
    <w:p w14:paraId="1E3EF9E1" w14:textId="77777777"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611E14">
        <w:rPr>
          <w:noProof/>
          <w:sz w:val="24"/>
          <w:lang w:val="en-US"/>
        </w:rPr>
        <w:t>[6]</w:t>
      </w:r>
      <w:r w:rsidRPr="00611E14">
        <w:rPr>
          <w:noProof/>
          <w:sz w:val="24"/>
          <w:lang w:val="en-US"/>
        </w:rPr>
        <w:tab/>
        <w:t xml:space="preserve">D. T. Brookes and E. Etkina, “‘Force,’ ontology, and language,” </w:t>
      </w:r>
      <w:r w:rsidRPr="00611E14">
        <w:rPr>
          <w:i/>
          <w:iCs/>
          <w:noProof/>
          <w:sz w:val="24"/>
          <w:lang w:val="en-US"/>
        </w:rPr>
        <w:t xml:space="preserve">PHYS. REV. </w:t>
      </w:r>
      <w:r w:rsidRPr="00F16DBD">
        <w:rPr>
          <w:i/>
          <w:iCs/>
          <w:noProof/>
          <w:sz w:val="24"/>
        </w:rPr>
        <w:t>ST PHYS. EDUC. RES.</w:t>
      </w:r>
      <w:r w:rsidRPr="00F16DBD">
        <w:rPr>
          <w:noProof/>
          <w:sz w:val="24"/>
        </w:rPr>
        <w:t>, vol. 5, pp. 010110-1–13, 2009.</w:t>
      </w:r>
    </w:p>
    <w:p w14:paraId="7104FFFB" w14:textId="77777777"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F16DBD">
        <w:rPr>
          <w:noProof/>
          <w:sz w:val="24"/>
        </w:rPr>
        <w:t>[7]</w:t>
      </w:r>
      <w:r w:rsidRPr="00F16DBD">
        <w:rPr>
          <w:noProof/>
          <w:sz w:val="24"/>
        </w:rPr>
        <w:tab/>
        <w:t xml:space="preserve">N. Grimellini Tomasini and G. Segrè, </w:t>
      </w:r>
      <w:r w:rsidRPr="00F16DBD">
        <w:rPr>
          <w:i/>
          <w:iCs/>
          <w:noProof/>
          <w:sz w:val="24"/>
        </w:rPr>
        <w:t>Conoscenze scientifiche: le rappresentazioni mentali degli studenti</w:t>
      </w:r>
      <w:r w:rsidRPr="00F16DBD">
        <w:rPr>
          <w:noProof/>
          <w:sz w:val="24"/>
        </w:rPr>
        <w:t>. Firenze: La Nuova Italia, 1991.</w:t>
      </w:r>
    </w:p>
    <w:p w14:paraId="67DD38D1" w14:textId="77777777"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F16DBD">
        <w:rPr>
          <w:noProof/>
          <w:sz w:val="24"/>
        </w:rPr>
        <w:t>[8]</w:t>
      </w:r>
      <w:r w:rsidRPr="00F16DBD">
        <w:rPr>
          <w:noProof/>
          <w:sz w:val="24"/>
        </w:rPr>
        <w:tab/>
        <w:t xml:space="preserve">G. Cavallini, </w:t>
      </w:r>
      <w:r w:rsidRPr="00F16DBD">
        <w:rPr>
          <w:i/>
          <w:iCs/>
          <w:noProof/>
          <w:sz w:val="24"/>
        </w:rPr>
        <w:t>La formazione dei concetti scientifici. Senso comune, scienza, apprendimento</w:t>
      </w:r>
      <w:r w:rsidRPr="00F16DBD">
        <w:rPr>
          <w:noProof/>
          <w:sz w:val="24"/>
        </w:rPr>
        <w:t>. Firenze: La Nuova Italia, 1995.</w:t>
      </w:r>
    </w:p>
    <w:p w14:paraId="2CD994DA"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[9]</w:t>
      </w:r>
      <w:r w:rsidRPr="00611E14">
        <w:rPr>
          <w:noProof/>
          <w:sz w:val="24"/>
          <w:lang w:val="en-US"/>
        </w:rPr>
        <w:tab/>
        <w:t xml:space="preserve">M. E. Loverude, “A research-based interactive lecture demonstration on sinking and floating,” </w:t>
      </w:r>
      <w:r w:rsidRPr="00611E14">
        <w:rPr>
          <w:i/>
          <w:iCs/>
          <w:noProof/>
          <w:sz w:val="24"/>
          <w:lang w:val="en-US"/>
        </w:rPr>
        <w:t>Am. J. Phys.</w:t>
      </w:r>
      <w:r w:rsidRPr="00611E14">
        <w:rPr>
          <w:noProof/>
          <w:sz w:val="24"/>
          <w:lang w:val="en-US"/>
        </w:rPr>
        <w:t>, vol. 77, no. 10, pp. 897–901, 2009.</w:t>
      </w:r>
    </w:p>
    <w:p w14:paraId="32302A64"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[10]</w:t>
      </w:r>
      <w:r w:rsidRPr="00611E14">
        <w:rPr>
          <w:noProof/>
          <w:sz w:val="24"/>
          <w:lang w:val="en-US"/>
        </w:rPr>
        <w:tab/>
        <w:t xml:space="preserve">M. E. Loverude, P. R. L. Heron, and C. H. Kautz, “Identifying and addressing student difficulties with hydrostatic pressure,” </w:t>
      </w:r>
      <w:r w:rsidRPr="00611E14">
        <w:rPr>
          <w:i/>
          <w:iCs/>
          <w:noProof/>
          <w:sz w:val="24"/>
          <w:lang w:val="en-US"/>
        </w:rPr>
        <w:t>Am. J. Phys.</w:t>
      </w:r>
      <w:r w:rsidRPr="00611E14">
        <w:rPr>
          <w:noProof/>
          <w:sz w:val="24"/>
          <w:lang w:val="en-US"/>
        </w:rPr>
        <w:t>, vol. 78, no. 1, pp. 75–85, 2010.</w:t>
      </w:r>
    </w:p>
    <w:p w14:paraId="7CD704D5"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[11]</w:t>
      </w:r>
      <w:r w:rsidRPr="00611E14">
        <w:rPr>
          <w:noProof/>
          <w:sz w:val="24"/>
          <w:lang w:val="en-US"/>
        </w:rPr>
        <w:tab/>
        <w:t xml:space="preserve">M. E. Loverude, C. H. Kautz, and P. R. L. Heron, “Helping students develop an understanding of Archimedes’ principle. I. Research on student understanding,” </w:t>
      </w:r>
      <w:r w:rsidRPr="00611E14">
        <w:rPr>
          <w:i/>
          <w:iCs/>
          <w:noProof/>
          <w:sz w:val="24"/>
          <w:lang w:val="en-US"/>
        </w:rPr>
        <w:t>Am. J. Phys.</w:t>
      </w:r>
      <w:r w:rsidRPr="00611E14">
        <w:rPr>
          <w:noProof/>
          <w:sz w:val="24"/>
          <w:lang w:val="en-US"/>
        </w:rPr>
        <w:t>, vol. 71, no. 11, pp. 1178–1187, 2003.</w:t>
      </w:r>
    </w:p>
    <w:p w14:paraId="5FE15CA8"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[12]</w:t>
      </w:r>
      <w:r w:rsidRPr="00611E14">
        <w:rPr>
          <w:noProof/>
          <w:sz w:val="24"/>
          <w:lang w:val="en-US"/>
        </w:rPr>
        <w:tab/>
        <w:t xml:space="preserve">P. R. L. Heron, M. E. Loverude, P. S. Shaffer, and L. C. McDermott, “Helping students develop an understanding of Archimedes’ principle. II. Development of research-based instructional materials,” </w:t>
      </w:r>
      <w:r w:rsidRPr="00611E14">
        <w:rPr>
          <w:i/>
          <w:iCs/>
          <w:noProof/>
          <w:sz w:val="24"/>
          <w:lang w:val="en-US"/>
        </w:rPr>
        <w:t>Am. J. Phys.</w:t>
      </w:r>
      <w:r w:rsidRPr="00611E14">
        <w:rPr>
          <w:noProof/>
          <w:sz w:val="24"/>
          <w:lang w:val="en-US"/>
        </w:rPr>
        <w:t>, vol. 71, no. 11, pp. 1188–1195, 2003.</w:t>
      </w:r>
    </w:p>
    <w:p w14:paraId="63AC8DD8"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[13]</w:t>
      </w:r>
      <w:r w:rsidRPr="00611E14">
        <w:rPr>
          <w:noProof/>
          <w:sz w:val="24"/>
          <w:lang w:val="en-US"/>
        </w:rPr>
        <w:tab/>
        <w:t xml:space="preserve">U. Besson, “Students’ conceptions of fluids,” </w:t>
      </w:r>
      <w:r w:rsidRPr="00611E14">
        <w:rPr>
          <w:i/>
          <w:iCs/>
          <w:noProof/>
          <w:sz w:val="24"/>
          <w:lang w:val="en-US"/>
        </w:rPr>
        <w:t>Int. J. Sci. Educ.</w:t>
      </w:r>
      <w:r w:rsidRPr="00611E14">
        <w:rPr>
          <w:noProof/>
          <w:sz w:val="24"/>
          <w:lang w:val="en-US"/>
        </w:rPr>
        <w:t>, vol. 26, no. 14, pp. 1683–1714, 2004.</w:t>
      </w:r>
    </w:p>
    <w:p w14:paraId="6DCA7820"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[14]</w:t>
      </w:r>
      <w:r w:rsidRPr="00611E14">
        <w:rPr>
          <w:noProof/>
          <w:sz w:val="24"/>
          <w:lang w:val="en-US"/>
        </w:rPr>
        <w:tab/>
        <w:t xml:space="preserve">U. Besson, J. Lega, and L. Viennot, “Using anchoring conceptions for teaching statics of fluids,” in </w:t>
      </w:r>
      <w:r w:rsidRPr="00611E14">
        <w:rPr>
          <w:i/>
          <w:iCs/>
          <w:noProof/>
          <w:sz w:val="24"/>
          <w:lang w:val="en-US"/>
        </w:rPr>
        <w:t>In Physics Teacher Education Beyond 2000, International Conference of GIREP, Selected Contributions</w:t>
      </w:r>
      <w:r w:rsidRPr="00611E14">
        <w:rPr>
          <w:noProof/>
          <w:sz w:val="24"/>
          <w:lang w:val="en-US"/>
        </w:rPr>
        <w:t>, 2000.</w:t>
      </w:r>
    </w:p>
    <w:p w14:paraId="0B6F499B" w14:textId="77777777"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611E14">
        <w:rPr>
          <w:noProof/>
          <w:sz w:val="24"/>
          <w:lang w:val="en-US"/>
        </w:rPr>
        <w:t>[15]</w:t>
      </w:r>
      <w:r w:rsidRPr="00611E14">
        <w:rPr>
          <w:noProof/>
          <w:sz w:val="24"/>
          <w:lang w:val="en-US"/>
        </w:rPr>
        <w:tab/>
        <w:t xml:space="preserve">M. Goszewski, A. Moyer, Z. Bazan, and D. J. Wagner, “Exploring student difficulties with pressure in a fluid,” </w:t>
      </w:r>
      <w:r w:rsidRPr="00611E14">
        <w:rPr>
          <w:i/>
          <w:iCs/>
          <w:noProof/>
          <w:sz w:val="24"/>
          <w:lang w:val="en-US"/>
        </w:rPr>
        <w:t xml:space="preserve">AIP Conf. </w:t>
      </w:r>
      <w:r w:rsidRPr="00F16DBD">
        <w:rPr>
          <w:i/>
          <w:iCs/>
          <w:noProof/>
          <w:sz w:val="24"/>
        </w:rPr>
        <w:t>Proc.</w:t>
      </w:r>
      <w:r w:rsidRPr="00F16DBD">
        <w:rPr>
          <w:noProof/>
          <w:sz w:val="24"/>
        </w:rPr>
        <w:t>, vol. 1513, no. January 2013, pp. 154–157, 2013.</w:t>
      </w:r>
    </w:p>
    <w:p w14:paraId="47677B07"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F16DBD">
        <w:rPr>
          <w:noProof/>
          <w:sz w:val="24"/>
        </w:rPr>
        <w:t>[16]</w:t>
      </w:r>
      <w:r w:rsidRPr="00F16DBD">
        <w:rPr>
          <w:noProof/>
          <w:sz w:val="24"/>
        </w:rPr>
        <w:tab/>
        <w:t xml:space="preserve">D. J. Rhee, “Glaucoma. Manuale online MSD per l’educazione dei pazienti,” 2019. </w:t>
      </w:r>
      <w:r w:rsidRPr="00611E14">
        <w:rPr>
          <w:noProof/>
          <w:sz w:val="24"/>
          <w:lang w:val="en-US"/>
        </w:rPr>
        <w:t>[Online]. Available: https://www.msdmanuals.com/it-it/casa/disturbi-oculari/glaucoma/glaucoma#.</w:t>
      </w:r>
    </w:p>
    <w:p w14:paraId="67E78C77"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[17]</w:t>
      </w:r>
      <w:r w:rsidRPr="00611E14">
        <w:rPr>
          <w:noProof/>
          <w:sz w:val="24"/>
          <w:lang w:val="en-US"/>
        </w:rPr>
        <w:tab/>
        <w:t xml:space="preserve">European Glaucoma Society Fondation, “European glaucoma society terminology and guidelines for glaucoma, 4th edition,” </w:t>
      </w:r>
      <w:r w:rsidRPr="00611E14">
        <w:rPr>
          <w:i/>
          <w:iCs/>
          <w:noProof/>
          <w:sz w:val="24"/>
          <w:lang w:val="en-US"/>
        </w:rPr>
        <w:t>Br. J. Ophthalmol.</w:t>
      </w:r>
      <w:r w:rsidRPr="00611E14">
        <w:rPr>
          <w:noProof/>
          <w:sz w:val="24"/>
          <w:lang w:val="en-US"/>
        </w:rPr>
        <w:t>, vol. 101, no. 73, 2017.</w:t>
      </w:r>
    </w:p>
    <w:p w14:paraId="390491AA"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F16DBD">
        <w:rPr>
          <w:noProof/>
          <w:sz w:val="24"/>
        </w:rPr>
        <w:lastRenderedPageBreak/>
        <w:t>[18]</w:t>
      </w:r>
      <w:r w:rsidRPr="00F16DBD">
        <w:rPr>
          <w:noProof/>
          <w:sz w:val="24"/>
        </w:rPr>
        <w:tab/>
        <w:t xml:space="preserve">D. J. Rhee, “Panoramica sul glaucoma. Manuale online MSD per i professionisti,” 2019. </w:t>
      </w:r>
      <w:r w:rsidRPr="00611E14">
        <w:rPr>
          <w:noProof/>
          <w:sz w:val="24"/>
          <w:lang w:val="en-US"/>
        </w:rPr>
        <w:t>[Online]. Available: https://tinyurl.com/9kvtxr5w.</w:t>
      </w:r>
    </w:p>
    <w:p w14:paraId="7F54F7D4"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[19]</w:t>
      </w:r>
      <w:r w:rsidRPr="00611E14">
        <w:rPr>
          <w:noProof/>
          <w:sz w:val="24"/>
          <w:lang w:val="en-US"/>
        </w:rPr>
        <w:tab/>
        <w:t xml:space="preserve">L. Bonomi </w:t>
      </w:r>
      <w:r w:rsidRPr="00611E14">
        <w:rPr>
          <w:i/>
          <w:iCs/>
          <w:noProof/>
          <w:sz w:val="24"/>
          <w:lang w:val="en-US"/>
        </w:rPr>
        <w:t>et al.</w:t>
      </w:r>
      <w:r w:rsidRPr="00611E14">
        <w:rPr>
          <w:noProof/>
          <w:sz w:val="24"/>
          <w:lang w:val="en-US"/>
        </w:rPr>
        <w:t xml:space="preserve">, “Prevalence of glaucoma and intraocular pressure distribution in a defined population: The Egna-Neumarkt study,” </w:t>
      </w:r>
      <w:r w:rsidRPr="00611E14">
        <w:rPr>
          <w:i/>
          <w:iCs/>
          <w:noProof/>
          <w:sz w:val="24"/>
          <w:lang w:val="en-US"/>
        </w:rPr>
        <w:t>Ophthalmology</w:t>
      </w:r>
      <w:r w:rsidRPr="00611E14">
        <w:rPr>
          <w:noProof/>
          <w:sz w:val="24"/>
          <w:lang w:val="en-US"/>
        </w:rPr>
        <w:t>, vol. 105, no. 2, pp. 209–215, 1998.</w:t>
      </w:r>
    </w:p>
    <w:p w14:paraId="79B46E62"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F16DBD">
        <w:rPr>
          <w:noProof/>
          <w:sz w:val="24"/>
        </w:rPr>
        <w:t>[20]</w:t>
      </w:r>
      <w:r w:rsidRPr="00F16DBD">
        <w:rPr>
          <w:noProof/>
          <w:sz w:val="24"/>
        </w:rPr>
        <w:tab/>
        <w:t xml:space="preserve">Fondazione GB Bietti, “Glaucoma.” [Online]. </w:t>
      </w:r>
      <w:r w:rsidRPr="00611E14">
        <w:rPr>
          <w:noProof/>
          <w:sz w:val="24"/>
          <w:lang w:val="en-US"/>
        </w:rPr>
        <w:t>Available: https://www.fondazionebietti.it/it/glaucoma.</w:t>
      </w:r>
    </w:p>
    <w:p w14:paraId="19FB94DF"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[21]</w:t>
      </w:r>
      <w:r w:rsidRPr="00611E14">
        <w:rPr>
          <w:noProof/>
          <w:sz w:val="24"/>
          <w:lang w:val="en-US"/>
        </w:rPr>
        <w:tab/>
        <w:t xml:space="preserve">S. Miglior </w:t>
      </w:r>
      <w:r w:rsidRPr="00611E14">
        <w:rPr>
          <w:i/>
          <w:iCs/>
          <w:noProof/>
          <w:sz w:val="24"/>
          <w:lang w:val="en-US"/>
        </w:rPr>
        <w:t>et al.</w:t>
      </w:r>
      <w:r w:rsidRPr="00611E14">
        <w:rPr>
          <w:noProof/>
          <w:sz w:val="24"/>
          <w:lang w:val="en-US"/>
        </w:rPr>
        <w:t xml:space="preserve">, “Results of the European Glaucoma Prevention Study,” </w:t>
      </w:r>
      <w:r w:rsidRPr="00611E14">
        <w:rPr>
          <w:i/>
          <w:iCs/>
          <w:noProof/>
          <w:sz w:val="24"/>
          <w:lang w:val="en-US"/>
        </w:rPr>
        <w:t>Ophthalmology</w:t>
      </w:r>
      <w:r w:rsidRPr="00611E14">
        <w:rPr>
          <w:noProof/>
          <w:sz w:val="24"/>
          <w:lang w:val="en-US"/>
        </w:rPr>
        <w:t>, vol. 112, no. 3, pp. 366–375, 2005.</w:t>
      </w:r>
    </w:p>
    <w:p w14:paraId="638AFECF"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[22]</w:t>
      </w:r>
      <w:r w:rsidRPr="00611E14">
        <w:rPr>
          <w:noProof/>
          <w:sz w:val="24"/>
          <w:lang w:val="en-US"/>
        </w:rPr>
        <w:tab/>
        <w:t>American acadamy ophthalmology, “Primary Open-Angle Glaucoma Preferred Practice Pattern 2020,” 2020. [Online]. Available: https://www.aao.org/preferred-practice-pattern/primary-open-angle-glaucoma-ppp.</w:t>
      </w:r>
    </w:p>
    <w:p w14:paraId="665E3632"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[23]</w:t>
      </w:r>
      <w:r w:rsidRPr="00611E14">
        <w:rPr>
          <w:noProof/>
          <w:sz w:val="24"/>
          <w:lang w:val="en-US"/>
        </w:rPr>
        <w:tab/>
        <w:t xml:space="preserve">R. N. Weinreb, T. Aung, and F. A. Medeiros, “The pathophysiology and treatment of glaucoma: A review,” </w:t>
      </w:r>
      <w:r w:rsidRPr="00611E14">
        <w:rPr>
          <w:i/>
          <w:iCs/>
          <w:noProof/>
          <w:sz w:val="24"/>
          <w:lang w:val="en-US"/>
        </w:rPr>
        <w:t>JAMA - J. Am. Med. Assoc.</w:t>
      </w:r>
      <w:r w:rsidRPr="00611E14">
        <w:rPr>
          <w:noProof/>
          <w:sz w:val="24"/>
          <w:lang w:val="en-US"/>
        </w:rPr>
        <w:t>, vol. 311, no. 18, pp. 1901–1911, 2014.</w:t>
      </w:r>
    </w:p>
    <w:p w14:paraId="475204B0"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[24]</w:t>
      </w:r>
      <w:r w:rsidRPr="00611E14">
        <w:rPr>
          <w:noProof/>
          <w:sz w:val="24"/>
          <w:lang w:val="en-US"/>
        </w:rPr>
        <w:tab/>
        <w:t xml:space="preserve">J. Flammer and M. Mozaffarieh, “What Is the Present Pathogenetic Concept of Glaucomatous Optic Neuropathy?,” </w:t>
      </w:r>
      <w:r w:rsidRPr="00611E14">
        <w:rPr>
          <w:i/>
          <w:iCs/>
          <w:noProof/>
          <w:sz w:val="24"/>
          <w:lang w:val="en-US"/>
        </w:rPr>
        <w:t>Surv. Ophthalmol.</w:t>
      </w:r>
      <w:r w:rsidRPr="00611E14">
        <w:rPr>
          <w:noProof/>
          <w:sz w:val="24"/>
          <w:lang w:val="en-US"/>
        </w:rPr>
        <w:t>, vol. 52, no. SUPPL.2, p. S162, 2007.</w:t>
      </w:r>
    </w:p>
    <w:p w14:paraId="308ABCB0"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[25]</w:t>
      </w:r>
      <w:r w:rsidRPr="00611E14">
        <w:rPr>
          <w:noProof/>
          <w:sz w:val="24"/>
          <w:lang w:val="en-US"/>
        </w:rPr>
        <w:tab/>
        <w:t xml:space="preserve">G. Colicchia and H. Wiesner, “Looking into the Eye with a Smartphone,” </w:t>
      </w:r>
      <w:r w:rsidRPr="00611E14">
        <w:rPr>
          <w:i/>
          <w:iCs/>
          <w:noProof/>
          <w:sz w:val="24"/>
          <w:lang w:val="en-US"/>
        </w:rPr>
        <w:t>Phys. Teach.</w:t>
      </w:r>
      <w:r w:rsidRPr="00611E14">
        <w:rPr>
          <w:noProof/>
          <w:sz w:val="24"/>
          <w:lang w:val="en-US"/>
        </w:rPr>
        <w:t>, vol. 53, no. January, pp. 106–108, 2015.</w:t>
      </w:r>
    </w:p>
    <w:p w14:paraId="5575833A"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[26]</w:t>
      </w:r>
      <w:r w:rsidRPr="00611E14">
        <w:rPr>
          <w:noProof/>
          <w:sz w:val="24"/>
          <w:lang w:val="en-US"/>
        </w:rPr>
        <w:tab/>
        <w:t xml:space="preserve">K. Pieper, G. Latour, J. Küchenmeister, A. Bergmann, R. Dengler, and C. Rockstuhl, “Full-field optical coherence tomography—An educational setup for an undergraduate lab,” </w:t>
      </w:r>
      <w:r w:rsidRPr="00611E14">
        <w:rPr>
          <w:i/>
          <w:iCs/>
          <w:noProof/>
          <w:sz w:val="24"/>
          <w:lang w:val="en-US"/>
        </w:rPr>
        <w:t>Am. J. Phys.</w:t>
      </w:r>
      <w:r w:rsidRPr="00611E14">
        <w:rPr>
          <w:noProof/>
          <w:sz w:val="24"/>
          <w:lang w:val="en-US"/>
        </w:rPr>
        <w:t>, vol. 88, no. 12, pp. 1132–1139, 2020.</w:t>
      </w:r>
    </w:p>
    <w:p w14:paraId="1838395D"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[27]</w:t>
      </w:r>
      <w:r w:rsidRPr="00611E14">
        <w:rPr>
          <w:noProof/>
          <w:sz w:val="24"/>
          <w:lang w:val="en-US"/>
        </w:rPr>
        <w:tab/>
        <w:t xml:space="preserve">B. C. Chauhan </w:t>
      </w:r>
      <w:r w:rsidRPr="00611E14">
        <w:rPr>
          <w:i/>
          <w:iCs/>
          <w:noProof/>
          <w:sz w:val="24"/>
          <w:lang w:val="en-US"/>
        </w:rPr>
        <w:t>et al.</w:t>
      </w:r>
      <w:r w:rsidRPr="00611E14">
        <w:rPr>
          <w:noProof/>
          <w:sz w:val="24"/>
          <w:lang w:val="en-US"/>
        </w:rPr>
        <w:t xml:space="preserve">, “Practical recommendations for measuring rates of visual field change in glaucoma,” </w:t>
      </w:r>
      <w:r w:rsidRPr="00611E14">
        <w:rPr>
          <w:i/>
          <w:iCs/>
          <w:noProof/>
          <w:sz w:val="24"/>
          <w:lang w:val="en-US"/>
        </w:rPr>
        <w:t>Br. J. Ophthalmol.</w:t>
      </w:r>
      <w:r w:rsidRPr="00611E14">
        <w:rPr>
          <w:noProof/>
          <w:sz w:val="24"/>
          <w:lang w:val="en-US"/>
        </w:rPr>
        <w:t>, vol. 92, no. 4, pp. 569–573, 2008.</w:t>
      </w:r>
    </w:p>
    <w:p w14:paraId="3FFD70D6"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[28]</w:t>
      </w:r>
      <w:r w:rsidRPr="00611E14">
        <w:rPr>
          <w:noProof/>
          <w:sz w:val="24"/>
          <w:lang w:val="en-US"/>
        </w:rPr>
        <w:tab/>
        <w:t xml:space="preserve">E. M. Kirstein, A. Elsheikh, and P. Gunvant, “Tonometry – Past, Present and Future,” </w:t>
      </w:r>
      <w:r w:rsidRPr="00611E14">
        <w:rPr>
          <w:i/>
          <w:iCs/>
          <w:noProof/>
          <w:sz w:val="24"/>
          <w:lang w:val="en-US"/>
        </w:rPr>
        <w:t>InTech</w:t>
      </w:r>
      <w:r w:rsidRPr="00611E14">
        <w:rPr>
          <w:noProof/>
          <w:sz w:val="24"/>
          <w:lang w:val="en-US"/>
        </w:rPr>
        <w:t>, 2011.</w:t>
      </w:r>
    </w:p>
    <w:p w14:paraId="78DEA997" w14:textId="77777777"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611E14">
        <w:rPr>
          <w:noProof/>
          <w:sz w:val="24"/>
          <w:lang w:val="en-US"/>
        </w:rPr>
        <w:t>[29]</w:t>
      </w:r>
      <w:r w:rsidRPr="00611E14">
        <w:rPr>
          <w:noProof/>
          <w:sz w:val="24"/>
          <w:lang w:val="en-US"/>
        </w:rPr>
        <w:tab/>
        <w:t xml:space="preserve">S. Y. W. Liang, G. A. Lee, and D. Shields, “Self-tonometry in Glaucoma Management-Past, Present and Future,” </w:t>
      </w:r>
      <w:r w:rsidRPr="00611E14">
        <w:rPr>
          <w:i/>
          <w:iCs/>
          <w:noProof/>
          <w:sz w:val="24"/>
          <w:lang w:val="en-US"/>
        </w:rPr>
        <w:t xml:space="preserve">Surv. </w:t>
      </w:r>
      <w:r w:rsidRPr="00F16DBD">
        <w:rPr>
          <w:i/>
          <w:iCs/>
          <w:noProof/>
          <w:sz w:val="24"/>
        </w:rPr>
        <w:t>Ophthalmol.</w:t>
      </w:r>
      <w:r w:rsidRPr="00F16DBD">
        <w:rPr>
          <w:noProof/>
          <w:sz w:val="24"/>
        </w:rPr>
        <w:t>, vol. 54, no. 4, pp. 450–462, 2009.</w:t>
      </w:r>
    </w:p>
    <w:p w14:paraId="111CFC9F"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F16DBD">
        <w:rPr>
          <w:noProof/>
          <w:sz w:val="24"/>
        </w:rPr>
        <w:t>[30]</w:t>
      </w:r>
      <w:r w:rsidRPr="00F16DBD">
        <w:rPr>
          <w:noProof/>
          <w:sz w:val="24"/>
        </w:rPr>
        <w:tab/>
        <w:t xml:space="preserve">P. Sapia, “Educazione civica e alfabetizzazione scientifica,” </w:t>
      </w:r>
      <w:r w:rsidRPr="00F16DBD">
        <w:rPr>
          <w:i/>
          <w:iCs/>
          <w:noProof/>
          <w:sz w:val="24"/>
        </w:rPr>
        <w:t xml:space="preserve">L’Eco della Sc. </w:t>
      </w:r>
      <w:r w:rsidRPr="00611E14">
        <w:rPr>
          <w:i/>
          <w:iCs/>
          <w:noProof/>
          <w:sz w:val="24"/>
          <w:lang w:val="en-US"/>
        </w:rPr>
        <w:t>Nuova</w:t>
      </w:r>
      <w:r w:rsidRPr="00611E14">
        <w:rPr>
          <w:noProof/>
          <w:sz w:val="24"/>
          <w:lang w:val="en-US"/>
        </w:rPr>
        <w:t>, vol. LXXIV, no. 3, pp. 12–14, 2019.</w:t>
      </w:r>
    </w:p>
    <w:p w14:paraId="20140F7E" w14:textId="77777777" w:rsidR="00F16DBD" w:rsidRPr="00611E14" w:rsidRDefault="00F16DBD" w:rsidP="00F861FC">
      <w:pPr>
        <w:widowControl w:val="0"/>
        <w:autoSpaceDE w:val="0"/>
        <w:autoSpaceDN w:val="0"/>
        <w:adjustRightInd w:val="0"/>
        <w:spacing w:before="240" w:after="120" w:line="240" w:lineRule="auto"/>
        <w:ind w:left="641" w:hanging="641"/>
        <w:contextualSpacing/>
        <w:rPr>
          <w:noProof/>
          <w:sz w:val="24"/>
          <w:lang w:val="en-US"/>
        </w:rPr>
      </w:pPr>
      <w:r w:rsidRPr="00611E14">
        <w:rPr>
          <w:noProof/>
          <w:sz w:val="24"/>
          <w:lang w:val="en-US"/>
        </w:rPr>
        <w:t>[31]</w:t>
      </w:r>
      <w:r w:rsidRPr="00611E14">
        <w:rPr>
          <w:noProof/>
          <w:sz w:val="24"/>
          <w:lang w:val="en-US"/>
        </w:rPr>
        <w:tab/>
        <w:t xml:space="preserve">W. M. Roth and J. Désautels, “Educating for citizenship : Reappraising the role of science education,” </w:t>
      </w:r>
      <w:r w:rsidRPr="00611E14">
        <w:rPr>
          <w:i/>
          <w:iCs/>
          <w:noProof/>
          <w:sz w:val="24"/>
          <w:lang w:val="en-US"/>
        </w:rPr>
        <w:t>Can. J. Sci. Math. Technol. Educ.</w:t>
      </w:r>
      <w:r w:rsidRPr="00611E14">
        <w:rPr>
          <w:noProof/>
          <w:sz w:val="24"/>
          <w:lang w:val="en-US"/>
        </w:rPr>
        <w:t>, vol. 4, no. 2, p. 149, 2004.</w:t>
      </w:r>
    </w:p>
    <w:p w14:paraId="3CA3234C" w14:textId="77777777"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611E14">
        <w:rPr>
          <w:noProof/>
          <w:sz w:val="24"/>
          <w:lang w:val="en-US"/>
        </w:rPr>
        <w:t>[32]</w:t>
      </w:r>
      <w:r w:rsidRPr="00611E14">
        <w:rPr>
          <w:noProof/>
          <w:sz w:val="24"/>
          <w:lang w:val="en-US"/>
        </w:rPr>
        <w:tab/>
        <w:t xml:space="preserve">P. Turiman, J. Omar, A. M. Daud, and K. Osman, “Fostering the 21st Century Skills through Scientific Literacy and Science Process Skills,” </w:t>
      </w:r>
      <w:r w:rsidRPr="00611E14">
        <w:rPr>
          <w:i/>
          <w:iCs/>
          <w:noProof/>
          <w:sz w:val="24"/>
          <w:lang w:val="en-US"/>
        </w:rPr>
        <w:t xml:space="preserve">Procedia - Soc. </w:t>
      </w:r>
      <w:r w:rsidRPr="00F16DBD">
        <w:rPr>
          <w:i/>
          <w:iCs/>
          <w:noProof/>
          <w:sz w:val="24"/>
        </w:rPr>
        <w:t>Behav. Sci.</w:t>
      </w:r>
      <w:r w:rsidRPr="00F16DBD">
        <w:rPr>
          <w:noProof/>
          <w:sz w:val="24"/>
        </w:rPr>
        <w:t>, vol. 59, pp. 110–116, 2012.</w:t>
      </w:r>
    </w:p>
    <w:p w14:paraId="598E023C" w14:textId="77777777" w:rsidR="00F16DBD" w:rsidRPr="00F16DBD" w:rsidRDefault="00F16DBD" w:rsidP="00F861FC">
      <w:pPr>
        <w:widowControl w:val="0"/>
        <w:autoSpaceDE w:val="0"/>
        <w:autoSpaceDN w:val="0"/>
        <w:adjustRightInd w:val="0"/>
        <w:spacing w:before="240" w:after="120" w:line="240" w:lineRule="auto"/>
        <w:ind w:left="641" w:hanging="641"/>
        <w:contextualSpacing/>
        <w:rPr>
          <w:noProof/>
          <w:sz w:val="24"/>
        </w:rPr>
      </w:pPr>
      <w:r w:rsidRPr="00F16DBD">
        <w:rPr>
          <w:noProof/>
          <w:sz w:val="24"/>
        </w:rPr>
        <w:t>[33]</w:t>
      </w:r>
      <w:r w:rsidRPr="00F16DBD">
        <w:rPr>
          <w:noProof/>
          <w:sz w:val="24"/>
        </w:rPr>
        <w:tab/>
        <w:t xml:space="preserve">G. Bosatta </w:t>
      </w:r>
      <w:r w:rsidRPr="00F16DBD">
        <w:rPr>
          <w:i/>
          <w:iCs/>
          <w:noProof/>
          <w:sz w:val="24"/>
        </w:rPr>
        <w:t>et al.</w:t>
      </w:r>
      <w:r w:rsidRPr="00F16DBD">
        <w:rPr>
          <w:noProof/>
          <w:sz w:val="24"/>
        </w:rPr>
        <w:t xml:space="preserve">, “Giochi, Esperimenti, Idee (GEI): una mostra per realizzare un ponte tra lo sperimentare quotidiano e l’attività scolastica,” </w:t>
      </w:r>
      <w:r w:rsidRPr="00F16DBD">
        <w:rPr>
          <w:i/>
          <w:iCs/>
          <w:noProof/>
          <w:sz w:val="24"/>
        </w:rPr>
        <w:t>La Fis. nella Sc.</w:t>
      </w:r>
      <w:r w:rsidRPr="00F16DBD">
        <w:rPr>
          <w:noProof/>
          <w:sz w:val="24"/>
        </w:rPr>
        <w:t>, vol. XXXI, no. suppl. 1, p. 1998, 2021.</w:t>
      </w:r>
    </w:p>
    <w:p w14:paraId="78FCBF28" w14:textId="37F899A7" w:rsidR="00A01499" w:rsidRPr="00395CDE" w:rsidRDefault="00A01499" w:rsidP="00F861FC">
      <w:pPr>
        <w:widowControl w:val="0"/>
        <w:autoSpaceDE w:val="0"/>
        <w:autoSpaceDN w:val="0"/>
        <w:adjustRightInd w:val="0"/>
        <w:spacing w:before="240" w:after="120" w:line="240" w:lineRule="auto"/>
        <w:ind w:left="641" w:hanging="641"/>
        <w:contextualSpacing/>
        <w:rPr>
          <w:rFonts w:eastAsia="Times New Roman"/>
          <w:bCs/>
          <w:color w:val="000000"/>
          <w:sz w:val="24"/>
          <w:szCs w:val="24"/>
          <w:lang w:val="en-US"/>
        </w:rPr>
      </w:pPr>
      <w:r>
        <w:rPr>
          <w:rFonts w:eastAsia="Times New Roman"/>
          <w:bCs/>
          <w:color w:val="000000"/>
          <w:sz w:val="24"/>
          <w:szCs w:val="24"/>
        </w:rPr>
        <w:fldChar w:fldCharType="end"/>
      </w:r>
    </w:p>
    <w:p w14:paraId="58D75295" w14:textId="77777777" w:rsidR="00BE00F3" w:rsidRPr="00AF0A39" w:rsidRDefault="00BE00F3" w:rsidP="00BE00F3">
      <w:pPr>
        <w:widowControl w:val="0"/>
        <w:spacing w:before="240" w:after="120"/>
        <w:ind w:left="640" w:hanging="640"/>
        <w:jc w:val="center"/>
        <w:rPr>
          <w:sz w:val="24"/>
          <w:szCs w:val="24"/>
          <w:lang w:val="en-US"/>
        </w:rPr>
      </w:pPr>
    </w:p>
    <w:sectPr w:rsidR="00BE00F3" w:rsidRPr="00AF0A3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BF091" w14:textId="77777777" w:rsidR="00DB5A05" w:rsidRDefault="00DB5A05" w:rsidP="00421658">
      <w:pPr>
        <w:spacing w:line="240" w:lineRule="auto"/>
      </w:pPr>
      <w:r>
        <w:separator/>
      </w:r>
    </w:p>
  </w:endnote>
  <w:endnote w:type="continuationSeparator" w:id="0">
    <w:p w14:paraId="663E07A7" w14:textId="77777777" w:rsidR="00DB5A05" w:rsidRDefault="00DB5A05" w:rsidP="004216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4F262" w14:textId="77777777" w:rsidR="00DB5A05" w:rsidRDefault="00DB5A05" w:rsidP="00421658">
      <w:pPr>
        <w:spacing w:line="240" w:lineRule="auto"/>
      </w:pPr>
      <w:r>
        <w:separator/>
      </w:r>
    </w:p>
  </w:footnote>
  <w:footnote w:type="continuationSeparator" w:id="0">
    <w:p w14:paraId="1B074039" w14:textId="77777777" w:rsidR="00DB5A05" w:rsidRDefault="00DB5A05" w:rsidP="00421658">
      <w:pPr>
        <w:spacing w:line="240" w:lineRule="auto"/>
      </w:pPr>
      <w:r>
        <w:continuationSeparator/>
      </w:r>
    </w:p>
  </w:footnote>
  <w:footnote w:id="1">
    <w:p w14:paraId="16D91EDE" w14:textId="77777777" w:rsidR="00395CDE" w:rsidRDefault="00395CDE" w:rsidP="00395CDE">
      <w:pPr>
        <w:pStyle w:val="Testonotaapidipagina"/>
      </w:pPr>
      <w:r w:rsidRPr="00611E14">
        <w:rPr>
          <w:rStyle w:val="Rimandonotaapidipagina"/>
        </w:rPr>
        <w:footnoteRef/>
      </w:r>
      <w:r>
        <w:t xml:space="preserve"> Il Liceo Statale Pitagora di Rende (CS) e il Polo Liceale di Corigliano Rossano (CS).</w:t>
      </w:r>
    </w:p>
  </w:footnote>
  <w:footnote w:id="2">
    <w:p w14:paraId="01F44CE3" w14:textId="76254EB9" w:rsidR="00A740E4" w:rsidRDefault="00A740E4" w:rsidP="00A740E4">
      <w:pPr>
        <w:pStyle w:val="Testonotaapidipagina"/>
      </w:pPr>
      <w:r w:rsidRPr="00611E14">
        <w:rPr>
          <w:rStyle w:val="Rimandonotaapidipagina"/>
        </w:rPr>
        <w:footnoteRef/>
      </w:r>
      <w:r>
        <w:t xml:space="preserve"> Un’illustrazione molto accurata delle strutture anatomiche e dei processi idrodinamici oculari di interesse per questo lavoro è fornita nella Figura 1 della </w:t>
      </w:r>
      <w:proofErr w:type="spellStart"/>
      <w:r>
        <w:t>ref</w:t>
      </w:r>
      <w:proofErr w:type="spellEnd"/>
      <w:r>
        <w:t xml:space="preserve">. </w:t>
      </w:r>
      <w:r w:rsidR="000766CA">
        <w:fldChar w:fldCharType="begin" w:fldLock="1"/>
      </w:r>
      <w:r w:rsidR="00F16DBD">
        <w:instrText>ADDIN CSL_CITATION {"citationItems":[{"id":"ITEM-1","itemData":{"DOI":"10.1001/jama.2014.3192","ISSN":"15383598","PMID":"24825645","abstract":"IMPORTANCE: Glaucoma is a worldwide leading cause of irreversible vision loss. Because it may be asymptomatic until a relatively late stage, diagnosis is frequently delayed. A general understanding of the disease pathophysiology, diagnosis, and treatment may assist primary care physicians in referring high-risk patients for comprehensive ophthalmologic examination and in more actively participating in the care of patients affected by this condition. OBJECTIVE: To describe current evidence regarding the pathophysiology and treatment of open-angle glaucoma and angle-closure glaucoma. EVIDENCE REVIEW: A literature search was conducted using MEDLINE, the Cochrane Library, and manuscript references for studies published in English between January 2000 and September 2013 on the topics open-angle glaucoma and angle-closure glaucoma. From the 4334 abstracts screened, 210 articles were selected that contained information on pathophysiology and treatment with relevance to primary care physicians. FINDINGS: The glaucomas are a group of progressive optic neuropathies characterized by degeneration of retinal ganglion cells and resulting changes in the optic nerve head. Loss of ganglion cells is related to the level of intraocular pressure, but other factors may also play a role. Reduction of intraocular pressure is the only provenmethod to treat the disease. Although treatment is usually initiated with ocular hypotensive drops, laser trabeculoplasty and surgerymay also be used to slow disease progression. CONCLUSIONS AND RELEVANCE: Primary care physicians can play an important role in the diagnosis of glaucoma by referring patients with positive family history or with suspicious optic nerve head findings for complete ophthalmologic examination. They can improve treatment outcomes by reinforcing the importance of medication adherence and persistence and by recognizing adverse reactions from glaucoma medications and surgeries. Copyright 2014 American Medical Association. All rights reserved.","author":[{"dropping-particle":"","family":"Weinreb","given":"R N","non-dropping-particle":"","parse-names":false,"suffix":""},{"dropping-particle":"","family":"Aung","given":"T","non-dropping-particle":"","parse-names":false,"suffix":""},{"dropping-particle":"","family":"Medeiros","given":"F A","non-dropping-particle":"","parse-names":false,"suffix":""}],"container-title":"JAMA - Journal of the American Medical Association","id":"ITEM-1","issue":"18","issued":{"date-parts":[["2014"]]},"page":"1901-1911","title":"The pathophysiology and treatment of glaucoma: A review","type":"article-journal","volume":"311"},"uris":["http://www.mendeley.com/documents/?uuid=f0ace531-ffce-40ef-8c97-92dd71125a57"]}],"mendeley":{"formattedCitation":"[23]","plainTextFormattedCitation":"[23]","previouslyFormattedCitation":"[23]"},"properties":{"noteIndex":0},"schema":"https://github.com/citation-style-language/schema/raw/master/csl-citation.json"}</w:instrText>
      </w:r>
      <w:r w:rsidR="000766CA">
        <w:fldChar w:fldCharType="separate"/>
      </w:r>
      <w:r w:rsidR="000C1330" w:rsidRPr="000C1330">
        <w:rPr>
          <w:noProof/>
        </w:rPr>
        <w:t>[23]</w:t>
      </w:r>
      <w:r w:rsidR="000766CA">
        <w:fldChar w:fldCharType="end"/>
      </w:r>
      <w:r>
        <w:t xml:space="preserve">, accessibile all’URL: </w:t>
      </w:r>
      <w:hyperlink r:id="rId1" w:history="1">
        <w:r w:rsidRPr="003E715C">
          <w:rPr>
            <w:rStyle w:val="Collegamentoipertestuale"/>
          </w:rPr>
          <w:t>https://tinyurl.com/ysackk5t</w:t>
        </w:r>
      </w:hyperlink>
      <w:r>
        <w:t xml:space="preserve"> </w:t>
      </w:r>
    </w:p>
  </w:footnote>
  <w:footnote w:id="3">
    <w:p w14:paraId="304E7D90" w14:textId="432C215D" w:rsidR="00D62CA7" w:rsidRDefault="00D62CA7">
      <w:pPr>
        <w:pStyle w:val="Testonotaapidipagina"/>
      </w:pPr>
      <w:r w:rsidRPr="00611E14">
        <w:rPr>
          <w:rStyle w:val="Rimandonotaapidipagina"/>
        </w:rPr>
        <w:footnoteRef/>
      </w:r>
      <w:r>
        <w:t xml:space="preserve"> </w:t>
      </w:r>
      <w:r w:rsidRPr="00D62CA7">
        <w:t xml:space="preserve">La </w:t>
      </w:r>
      <w:proofErr w:type="spellStart"/>
      <w:r w:rsidRPr="00D62CA7">
        <w:t>gonioscopia</w:t>
      </w:r>
      <w:proofErr w:type="spellEnd"/>
      <w:r w:rsidRPr="00D62CA7">
        <w:t xml:space="preserve">, e più in generale le tecniche di </w:t>
      </w:r>
      <w:r w:rsidRPr="00C74240">
        <w:rPr>
          <w:i/>
          <w:iCs/>
        </w:rPr>
        <w:t>imaging</w:t>
      </w:r>
      <w:r w:rsidRPr="00D62CA7">
        <w:t xml:space="preserve">, endoculare offrono interessanti contesti interdisciplinari per l’approfondimento di tematiche di ottica applicata. Si veda ad esempio la </w:t>
      </w:r>
      <w:proofErr w:type="spellStart"/>
      <w:r w:rsidRPr="00D62CA7">
        <w:t>ref</w:t>
      </w:r>
      <w:proofErr w:type="spellEnd"/>
      <w:r w:rsidRPr="00D62CA7">
        <w:t>.</w:t>
      </w:r>
      <w:r w:rsidR="00B52F95">
        <w:t xml:space="preserve"> </w:t>
      </w:r>
      <w:r w:rsidR="00B52F95">
        <w:fldChar w:fldCharType="begin" w:fldLock="1"/>
      </w:r>
      <w:r w:rsidR="00F16DBD">
        <w:instrText>ADDIN CSL_CITATION {"citationItems":[{"id":"ITEM-1","itemData":{"DOI":"10.1119/1.4905811","author":[{"dropping-particle":"","family":"Colicchia","given":"G","non-dropping-particle":"","parse-names":false,"suffix":""},{"dropping-particle":"","family":"Wiesner","given":"H","non-dropping-particle":"","parse-names":false,"suffix":""}],"container-title":"The Physics Teacher","id":"ITEM-1","issue":"January","issued":{"date-parts":[["2015"]]},"page":"106-108","title":"Looking into the Eye with a Smartphone","type":"article-journal","volume":"53"},"uris":["http://www.mendeley.com/documents/?uuid=b9a4846d-b23b-4df4-8c2d-d1fce4577eaf"]}],"mendeley":{"formattedCitation":"[25]","plainTextFormattedCitation":"[25]","previouslyFormattedCitation":"[25]"},"properties":{"noteIndex":0},"schema":"https://github.com/citation-style-language/schema/raw/master/csl-citation.json"}</w:instrText>
      </w:r>
      <w:r w:rsidR="00B52F95">
        <w:fldChar w:fldCharType="separate"/>
      </w:r>
      <w:r w:rsidR="000C1330" w:rsidRPr="000C1330">
        <w:rPr>
          <w:noProof/>
        </w:rPr>
        <w:t>[25]</w:t>
      </w:r>
      <w:r w:rsidR="00B52F95">
        <w:fldChar w:fldCharType="end"/>
      </w:r>
      <w:r w:rsidRPr="00D62CA7">
        <w:t>. Per una panoramica su questa specifica tecnica si veda “</w:t>
      </w:r>
      <w:proofErr w:type="spellStart"/>
      <w:r w:rsidRPr="00D62CA7">
        <w:t>Principles</w:t>
      </w:r>
      <w:proofErr w:type="spellEnd"/>
      <w:r w:rsidRPr="00D62CA7">
        <w:t xml:space="preserve"> of </w:t>
      </w:r>
      <w:proofErr w:type="spellStart"/>
      <w:r w:rsidRPr="00D62CA7">
        <w:t>Gonioscopy</w:t>
      </w:r>
      <w:proofErr w:type="spellEnd"/>
      <w:r w:rsidRPr="00D62CA7">
        <w:t>”, pagina web curata dall’American Academy of Ofthalmology, disponibile all’URL:</w:t>
      </w:r>
      <w:r>
        <w:t xml:space="preserve"> </w:t>
      </w:r>
      <w:r w:rsidRPr="00D62CA7">
        <w:t>https://www.aao.org/disease-review/principles-of-gonioscop</w:t>
      </w:r>
      <w:r>
        <w:t xml:space="preserve">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10DB"/>
    <w:multiLevelType w:val="hybridMultilevel"/>
    <w:tmpl w:val="4058C824"/>
    <w:lvl w:ilvl="0" w:tplc="A3022510">
      <w:start w:val="1"/>
      <w:numFmt w:val="lowerRoman"/>
      <w:lvlText w:val="%1)"/>
      <w:lvlJc w:val="left"/>
      <w:pPr>
        <w:ind w:left="780" w:hanging="720"/>
      </w:pPr>
      <w:rPr>
        <w:rFonts w:eastAsia="Calibri" w:hint="default"/>
        <w:i/>
        <w:color w:val="000000" w:themeColor="text1"/>
        <w:sz w:val="22"/>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 w15:restartNumberingAfterBreak="0">
    <w:nsid w:val="2CEB70FE"/>
    <w:multiLevelType w:val="hybridMultilevel"/>
    <w:tmpl w:val="5CC0BA84"/>
    <w:lvl w:ilvl="0" w:tplc="9A68FA4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C413E94"/>
    <w:multiLevelType w:val="hybridMultilevel"/>
    <w:tmpl w:val="0CFEC33A"/>
    <w:lvl w:ilvl="0" w:tplc="0410000F">
      <w:start w:val="1"/>
      <w:numFmt w:val="decimal"/>
      <w:lvlText w:val="%1."/>
      <w:lvlJc w:val="left"/>
      <w:pPr>
        <w:ind w:left="770" w:hanging="360"/>
      </w:pPr>
    </w:lvl>
    <w:lvl w:ilvl="1" w:tplc="04100019" w:tentative="1">
      <w:start w:val="1"/>
      <w:numFmt w:val="lowerLetter"/>
      <w:lvlText w:val="%2."/>
      <w:lvlJc w:val="left"/>
      <w:pPr>
        <w:ind w:left="1490" w:hanging="360"/>
      </w:pPr>
    </w:lvl>
    <w:lvl w:ilvl="2" w:tplc="0410001B" w:tentative="1">
      <w:start w:val="1"/>
      <w:numFmt w:val="lowerRoman"/>
      <w:lvlText w:val="%3."/>
      <w:lvlJc w:val="right"/>
      <w:pPr>
        <w:ind w:left="2210" w:hanging="180"/>
      </w:pPr>
    </w:lvl>
    <w:lvl w:ilvl="3" w:tplc="0410000F" w:tentative="1">
      <w:start w:val="1"/>
      <w:numFmt w:val="decimal"/>
      <w:lvlText w:val="%4."/>
      <w:lvlJc w:val="left"/>
      <w:pPr>
        <w:ind w:left="2930" w:hanging="360"/>
      </w:pPr>
    </w:lvl>
    <w:lvl w:ilvl="4" w:tplc="04100019" w:tentative="1">
      <w:start w:val="1"/>
      <w:numFmt w:val="lowerLetter"/>
      <w:lvlText w:val="%5."/>
      <w:lvlJc w:val="left"/>
      <w:pPr>
        <w:ind w:left="3650" w:hanging="360"/>
      </w:pPr>
    </w:lvl>
    <w:lvl w:ilvl="5" w:tplc="0410001B" w:tentative="1">
      <w:start w:val="1"/>
      <w:numFmt w:val="lowerRoman"/>
      <w:lvlText w:val="%6."/>
      <w:lvlJc w:val="right"/>
      <w:pPr>
        <w:ind w:left="4370" w:hanging="180"/>
      </w:pPr>
    </w:lvl>
    <w:lvl w:ilvl="6" w:tplc="0410000F" w:tentative="1">
      <w:start w:val="1"/>
      <w:numFmt w:val="decimal"/>
      <w:lvlText w:val="%7."/>
      <w:lvlJc w:val="left"/>
      <w:pPr>
        <w:ind w:left="5090" w:hanging="360"/>
      </w:pPr>
    </w:lvl>
    <w:lvl w:ilvl="7" w:tplc="04100019" w:tentative="1">
      <w:start w:val="1"/>
      <w:numFmt w:val="lowerLetter"/>
      <w:lvlText w:val="%8."/>
      <w:lvlJc w:val="left"/>
      <w:pPr>
        <w:ind w:left="5810" w:hanging="360"/>
      </w:pPr>
    </w:lvl>
    <w:lvl w:ilvl="8" w:tplc="0410001B" w:tentative="1">
      <w:start w:val="1"/>
      <w:numFmt w:val="lowerRoman"/>
      <w:lvlText w:val="%9."/>
      <w:lvlJc w:val="right"/>
      <w:pPr>
        <w:ind w:left="653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649"/>
    <w:rsid w:val="00005452"/>
    <w:rsid w:val="00006800"/>
    <w:rsid w:val="0001267D"/>
    <w:rsid w:val="00071374"/>
    <w:rsid w:val="000766CA"/>
    <w:rsid w:val="00086C12"/>
    <w:rsid w:val="000C1330"/>
    <w:rsid w:val="000D057F"/>
    <w:rsid w:val="00137786"/>
    <w:rsid w:val="00155279"/>
    <w:rsid w:val="001B3E6F"/>
    <w:rsid w:val="0020125F"/>
    <w:rsid w:val="002324DD"/>
    <w:rsid w:val="00272B3B"/>
    <w:rsid w:val="002F4F38"/>
    <w:rsid w:val="003065A0"/>
    <w:rsid w:val="00307D7D"/>
    <w:rsid w:val="00313FD6"/>
    <w:rsid w:val="00332085"/>
    <w:rsid w:val="003540EA"/>
    <w:rsid w:val="0035625E"/>
    <w:rsid w:val="00383A6A"/>
    <w:rsid w:val="00395CDE"/>
    <w:rsid w:val="003B1161"/>
    <w:rsid w:val="0040637C"/>
    <w:rsid w:val="00421658"/>
    <w:rsid w:val="00430EF6"/>
    <w:rsid w:val="004376F3"/>
    <w:rsid w:val="00443C9E"/>
    <w:rsid w:val="00456468"/>
    <w:rsid w:val="004673BC"/>
    <w:rsid w:val="004E1E70"/>
    <w:rsid w:val="004F41F3"/>
    <w:rsid w:val="005068AF"/>
    <w:rsid w:val="00536D3F"/>
    <w:rsid w:val="005546A1"/>
    <w:rsid w:val="0055772C"/>
    <w:rsid w:val="00563E52"/>
    <w:rsid w:val="00564A89"/>
    <w:rsid w:val="005D02E2"/>
    <w:rsid w:val="005D63E4"/>
    <w:rsid w:val="00611E14"/>
    <w:rsid w:val="006253CA"/>
    <w:rsid w:val="0065607C"/>
    <w:rsid w:val="006648A6"/>
    <w:rsid w:val="00670FF1"/>
    <w:rsid w:val="006D1649"/>
    <w:rsid w:val="006D72FF"/>
    <w:rsid w:val="006F0249"/>
    <w:rsid w:val="00700151"/>
    <w:rsid w:val="00721748"/>
    <w:rsid w:val="00724293"/>
    <w:rsid w:val="00746A78"/>
    <w:rsid w:val="00752D70"/>
    <w:rsid w:val="00775B4A"/>
    <w:rsid w:val="0078245C"/>
    <w:rsid w:val="007B4796"/>
    <w:rsid w:val="007B7074"/>
    <w:rsid w:val="007E48BE"/>
    <w:rsid w:val="007F3CD1"/>
    <w:rsid w:val="00814E7C"/>
    <w:rsid w:val="00853E85"/>
    <w:rsid w:val="0086552E"/>
    <w:rsid w:val="00884701"/>
    <w:rsid w:val="008F2C06"/>
    <w:rsid w:val="00917D12"/>
    <w:rsid w:val="00934193"/>
    <w:rsid w:val="00934630"/>
    <w:rsid w:val="0095182E"/>
    <w:rsid w:val="009718BD"/>
    <w:rsid w:val="00985377"/>
    <w:rsid w:val="009869A4"/>
    <w:rsid w:val="00995960"/>
    <w:rsid w:val="00A01499"/>
    <w:rsid w:val="00A05E54"/>
    <w:rsid w:val="00A30FE6"/>
    <w:rsid w:val="00A429AA"/>
    <w:rsid w:val="00A46DB1"/>
    <w:rsid w:val="00A73F32"/>
    <w:rsid w:val="00A740E4"/>
    <w:rsid w:val="00AD0CAA"/>
    <w:rsid w:val="00AE1C5A"/>
    <w:rsid w:val="00AE787D"/>
    <w:rsid w:val="00AF0A39"/>
    <w:rsid w:val="00B1029F"/>
    <w:rsid w:val="00B23CC1"/>
    <w:rsid w:val="00B52F95"/>
    <w:rsid w:val="00B54E22"/>
    <w:rsid w:val="00BA6C45"/>
    <w:rsid w:val="00BB4B3C"/>
    <w:rsid w:val="00BE00F3"/>
    <w:rsid w:val="00BE13DE"/>
    <w:rsid w:val="00BE5D14"/>
    <w:rsid w:val="00BF2ECB"/>
    <w:rsid w:val="00C70C9A"/>
    <w:rsid w:val="00C74240"/>
    <w:rsid w:val="00C911A3"/>
    <w:rsid w:val="00CB362E"/>
    <w:rsid w:val="00D34A7F"/>
    <w:rsid w:val="00D45C0C"/>
    <w:rsid w:val="00D6247C"/>
    <w:rsid w:val="00D62CA7"/>
    <w:rsid w:val="00D70638"/>
    <w:rsid w:val="00DA1DFB"/>
    <w:rsid w:val="00DB5A05"/>
    <w:rsid w:val="00DC3727"/>
    <w:rsid w:val="00DE17D5"/>
    <w:rsid w:val="00DE2D52"/>
    <w:rsid w:val="00E120D0"/>
    <w:rsid w:val="00E20548"/>
    <w:rsid w:val="00E2648E"/>
    <w:rsid w:val="00E44E1F"/>
    <w:rsid w:val="00E81799"/>
    <w:rsid w:val="00F16DBD"/>
    <w:rsid w:val="00F62D4C"/>
    <w:rsid w:val="00F861FC"/>
    <w:rsid w:val="00FA52AE"/>
    <w:rsid w:val="00FD59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863F9"/>
  <w15:docId w15:val="{B5CDB1A2-F556-4C49-8DFF-77020BD2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D057F"/>
    <w:rPr>
      <w:rFonts w:eastAsia="Calibri"/>
    </w:rPr>
  </w:style>
  <w:style w:type="paragraph" w:styleId="Titolo1">
    <w:name w:val="heading 1"/>
    <w:basedOn w:val="Normale"/>
    <w:next w:val="Normale"/>
    <w:link w:val="Titolo1Carattere"/>
    <w:uiPriority w:val="9"/>
    <w:qFormat/>
    <w:rsid w:val="001410D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link w:val="SottotitoloCarattere"/>
    <w:uiPriority w:val="11"/>
    <w:qFormat/>
    <w:pPr>
      <w:spacing w:before="120"/>
      <w:ind w:left="709"/>
    </w:pPr>
    <w:rPr>
      <w:b/>
    </w:rPr>
  </w:style>
  <w:style w:type="character" w:customStyle="1" w:styleId="SottotitoloCarattere">
    <w:name w:val="Sottotitolo Carattere"/>
    <w:basedOn w:val="Carpredefinitoparagrafo"/>
    <w:link w:val="Sottotitolo"/>
    <w:rsid w:val="00C00FF2"/>
    <w:rPr>
      <w:rFonts w:ascii="Times New Roman" w:eastAsiaTheme="minorEastAsia" w:hAnsi="Times New Roman"/>
      <w:b/>
      <w:spacing w:val="15"/>
    </w:rPr>
  </w:style>
  <w:style w:type="paragraph" w:customStyle="1" w:styleId="Affiliazione">
    <w:name w:val="Affiliazione"/>
    <w:basedOn w:val="Normale"/>
    <w:rsid w:val="007D3238"/>
    <w:pPr>
      <w:suppressAutoHyphens/>
      <w:jc w:val="center"/>
    </w:pPr>
    <w:rPr>
      <w:rFonts w:ascii="Arial" w:eastAsia="Times New Roman" w:hAnsi="Arial" w:cs="Arial"/>
      <w:sz w:val="20"/>
      <w:szCs w:val="20"/>
      <w:lang w:eastAsia="ar-SA"/>
    </w:rPr>
  </w:style>
  <w:style w:type="character" w:styleId="Collegamentoipertestuale">
    <w:name w:val="Hyperlink"/>
    <w:basedOn w:val="Carpredefinitoparagrafo"/>
    <w:uiPriority w:val="99"/>
    <w:unhideWhenUsed/>
    <w:rsid w:val="007D3238"/>
    <w:rPr>
      <w:color w:val="0000FF" w:themeColor="hyperlink"/>
      <w:u w:val="single"/>
    </w:rPr>
  </w:style>
  <w:style w:type="character" w:styleId="Collegamentovisitato">
    <w:name w:val="FollowedHyperlink"/>
    <w:basedOn w:val="Carpredefinitoparagrafo"/>
    <w:uiPriority w:val="99"/>
    <w:semiHidden/>
    <w:unhideWhenUsed/>
    <w:rsid w:val="00D56CFC"/>
    <w:rPr>
      <w:color w:val="800080" w:themeColor="followedHyperlink"/>
      <w:u w:val="single"/>
    </w:rPr>
  </w:style>
  <w:style w:type="character" w:styleId="Menzionenonrisolta">
    <w:name w:val="Unresolved Mention"/>
    <w:basedOn w:val="Carpredefinitoparagrafo"/>
    <w:uiPriority w:val="99"/>
    <w:rsid w:val="00D5034E"/>
    <w:rPr>
      <w:color w:val="605E5C"/>
      <w:shd w:val="clear" w:color="auto" w:fill="E1DFDD"/>
    </w:rPr>
  </w:style>
  <w:style w:type="paragraph" w:styleId="Paragrafoelenco">
    <w:name w:val="List Paragraph"/>
    <w:basedOn w:val="Normale"/>
    <w:uiPriority w:val="34"/>
    <w:qFormat/>
    <w:rsid w:val="00ED6A69"/>
    <w:pPr>
      <w:spacing w:before="240" w:after="120"/>
      <w:contextualSpacing/>
    </w:pPr>
    <w:rPr>
      <w:b/>
      <w:sz w:val="24"/>
    </w:rPr>
  </w:style>
  <w:style w:type="paragraph" w:styleId="Testonotaapidipagina">
    <w:name w:val="footnote text"/>
    <w:basedOn w:val="Normale"/>
    <w:link w:val="TestonotaapidipaginaCarattere"/>
    <w:uiPriority w:val="99"/>
    <w:semiHidden/>
    <w:unhideWhenUsed/>
    <w:rsid w:val="00BA20B6"/>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A20B6"/>
    <w:rPr>
      <w:rFonts w:ascii="Times New Roman" w:eastAsia="Calibri" w:hAnsi="Times New Roman" w:cs="Times New Roman"/>
      <w:sz w:val="20"/>
      <w:szCs w:val="20"/>
    </w:rPr>
  </w:style>
  <w:style w:type="character" w:styleId="Rimandonotaapidipagina">
    <w:name w:val="footnote reference"/>
    <w:basedOn w:val="Carpredefinitoparagrafo"/>
    <w:uiPriority w:val="99"/>
    <w:semiHidden/>
    <w:unhideWhenUsed/>
    <w:rsid w:val="00BA20B6"/>
    <w:rPr>
      <w:vertAlign w:val="superscript"/>
    </w:rPr>
  </w:style>
  <w:style w:type="paragraph" w:styleId="Didascalia">
    <w:name w:val="caption"/>
    <w:basedOn w:val="Normale"/>
    <w:next w:val="Normale"/>
    <w:uiPriority w:val="35"/>
    <w:unhideWhenUsed/>
    <w:qFormat/>
    <w:rsid w:val="00D36EF7"/>
    <w:pPr>
      <w:spacing w:after="360" w:line="240" w:lineRule="auto"/>
      <w:jc w:val="center"/>
    </w:pPr>
    <w:rPr>
      <w:iCs/>
      <w:color w:val="000000" w:themeColor="text1"/>
      <w:sz w:val="18"/>
      <w:szCs w:val="18"/>
    </w:rPr>
  </w:style>
  <w:style w:type="character" w:styleId="Testosegnaposto">
    <w:name w:val="Placeholder Text"/>
    <w:basedOn w:val="Carpredefinitoparagrafo"/>
    <w:uiPriority w:val="99"/>
    <w:semiHidden/>
    <w:rsid w:val="00D4161E"/>
    <w:rPr>
      <w:color w:val="808080"/>
    </w:rPr>
  </w:style>
  <w:style w:type="character" w:customStyle="1" w:styleId="Titolo1Carattere">
    <w:name w:val="Titolo 1 Carattere"/>
    <w:basedOn w:val="Carpredefinitoparagrafo"/>
    <w:link w:val="Titolo1"/>
    <w:uiPriority w:val="9"/>
    <w:rsid w:val="001410D4"/>
    <w:rPr>
      <w:rFonts w:asciiTheme="majorHAnsi" w:eastAsiaTheme="majorEastAsia" w:hAnsiTheme="majorHAnsi" w:cstheme="majorBidi"/>
      <w:color w:val="365F91" w:themeColor="accent1" w:themeShade="BF"/>
      <w:sz w:val="32"/>
      <w:szCs w:val="32"/>
    </w:rPr>
  </w:style>
  <w:style w:type="paragraph" w:styleId="Testofumetto">
    <w:name w:val="Balloon Text"/>
    <w:basedOn w:val="Normale"/>
    <w:link w:val="TestofumettoCarattere"/>
    <w:uiPriority w:val="99"/>
    <w:semiHidden/>
    <w:unhideWhenUsed/>
    <w:rsid w:val="003A3135"/>
    <w:pPr>
      <w:spacing w:line="240" w:lineRule="auto"/>
    </w:pPr>
    <w:rPr>
      <w:sz w:val="18"/>
      <w:szCs w:val="18"/>
    </w:rPr>
  </w:style>
  <w:style w:type="character" w:customStyle="1" w:styleId="TestofumettoCarattere">
    <w:name w:val="Testo fumetto Carattere"/>
    <w:basedOn w:val="Carpredefinitoparagrafo"/>
    <w:link w:val="Testofumetto"/>
    <w:uiPriority w:val="99"/>
    <w:semiHidden/>
    <w:rsid w:val="003A3135"/>
    <w:rPr>
      <w:rFonts w:ascii="Times New Roman" w:eastAsia="Calibri" w:hAnsi="Times New Roman" w:cs="Times New Roman"/>
      <w:sz w:val="18"/>
      <w:szCs w:val="18"/>
    </w:rPr>
  </w:style>
  <w:style w:type="table" w:styleId="Grigliatabella">
    <w:name w:val="Table Grid"/>
    <w:basedOn w:val="Tabellanormale"/>
    <w:uiPriority w:val="59"/>
    <w:rsid w:val="00767A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067875"/>
    <w:pPr>
      <w:spacing w:before="100" w:beforeAutospacing="1" w:after="100" w:afterAutospacing="1" w:line="240" w:lineRule="auto"/>
      <w:jc w:val="left"/>
    </w:pPr>
    <w:rPr>
      <w:rFonts w:eastAsia="Times New Roman"/>
      <w:sz w:val="24"/>
      <w:szCs w:val="24"/>
    </w:rPr>
  </w:style>
  <w:style w:type="character" w:styleId="Rimandocommento">
    <w:name w:val="annotation reference"/>
    <w:basedOn w:val="Carpredefinitoparagrafo"/>
    <w:uiPriority w:val="99"/>
    <w:semiHidden/>
    <w:unhideWhenUsed/>
    <w:rsid w:val="00D73107"/>
    <w:rPr>
      <w:sz w:val="16"/>
      <w:szCs w:val="16"/>
    </w:rPr>
  </w:style>
  <w:style w:type="paragraph" w:styleId="Testocommento">
    <w:name w:val="annotation text"/>
    <w:basedOn w:val="Normale"/>
    <w:link w:val="TestocommentoCarattere"/>
    <w:uiPriority w:val="99"/>
    <w:semiHidden/>
    <w:unhideWhenUsed/>
    <w:rsid w:val="00D7310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73107"/>
    <w:rPr>
      <w:rFonts w:ascii="Times New Roman" w:eastAsia="Calibri"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D73107"/>
    <w:rPr>
      <w:b/>
      <w:bCs/>
    </w:rPr>
  </w:style>
  <w:style w:type="character" w:customStyle="1" w:styleId="SoggettocommentoCarattere">
    <w:name w:val="Soggetto commento Carattere"/>
    <w:basedOn w:val="TestocommentoCarattere"/>
    <w:link w:val="Soggettocommento"/>
    <w:uiPriority w:val="99"/>
    <w:semiHidden/>
    <w:rsid w:val="00D73107"/>
    <w:rPr>
      <w:rFonts w:ascii="Times New Roman" w:eastAsia="Calibri" w:hAnsi="Times New Roman" w:cs="Times New Roman"/>
      <w:b/>
      <w:bCs/>
      <w:sz w:val="20"/>
      <w:szCs w:val="2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character" w:styleId="Rimandonotadichiusura">
    <w:name w:val="endnote reference"/>
    <w:basedOn w:val="Carpredefinitoparagrafo"/>
    <w:uiPriority w:val="99"/>
    <w:semiHidden/>
    <w:unhideWhenUsed/>
    <w:rsid w:val="00611E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42551">
      <w:bodyDiv w:val="1"/>
      <w:marLeft w:val="0"/>
      <w:marRight w:val="0"/>
      <w:marTop w:val="0"/>
      <w:marBottom w:val="0"/>
      <w:divBdr>
        <w:top w:val="none" w:sz="0" w:space="0" w:color="auto"/>
        <w:left w:val="none" w:sz="0" w:space="0" w:color="auto"/>
        <w:bottom w:val="none" w:sz="0" w:space="0" w:color="auto"/>
        <w:right w:val="none" w:sz="0" w:space="0" w:color="auto"/>
      </w:divBdr>
    </w:div>
    <w:div w:id="640310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tinyurl.com/ysackk5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PT/Da+3vTBKndBQw6YCPmpHprw==">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176E07-7662-4A4C-973A-5AF964BE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19</Pages>
  <Words>17905</Words>
  <Characters>102059</Characters>
  <Application>Microsoft Office Word</Application>
  <DocSecurity>0</DocSecurity>
  <Lines>850</Lines>
  <Paragraphs>239</Paragraphs>
  <ScaleCrop>false</ScaleCrop>
  <HeadingPairs>
    <vt:vector size="2" baseType="variant">
      <vt:variant>
        <vt:lpstr>Titolo</vt:lpstr>
      </vt:variant>
      <vt:variant>
        <vt:i4>1</vt:i4>
      </vt:variant>
    </vt:vector>
  </HeadingPairs>
  <TitlesOfParts>
    <vt:vector size="1" baseType="lpstr">
      <vt:lpstr/>
    </vt:vector>
  </TitlesOfParts>
  <Company>Università della Calabria</Company>
  <LinksUpToDate>false</LinksUpToDate>
  <CharactersWithSpaces>119725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Francesco</dc:creator>
  <cp:lastModifiedBy>Peppino Sapia</cp:lastModifiedBy>
  <cp:revision>6</cp:revision>
  <dcterms:created xsi:type="dcterms:W3CDTF">2021-04-18T14:36:00Z</dcterms:created>
  <dcterms:modified xsi:type="dcterms:W3CDTF">2021-04-18T21:27:00Z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d39c484e-7b1d-3a78-9d47-d54a083b0c6e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